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1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00" w:type="dxa"/>
            <w:vAlign w:val="bottom"/>
          </w:tcPr>
          <w:p>
            <w:pPr>
              <w:jc w:val="center"/>
              <w:ind w:right="25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27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300" w:type="dxa"/>
            <w:vAlign w:val="bottom"/>
            <w:vMerge w:val="restart"/>
          </w:tcPr>
          <w:p>
            <w:pPr>
              <w:jc w:val="center"/>
              <w:ind w:right="25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3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300" w:type="dxa"/>
            <w:vAlign w:val="bottom"/>
            <w:vMerge w:val="restart"/>
          </w:tcPr>
          <w:p>
            <w:pPr>
              <w:jc w:val="center"/>
              <w:ind w:right="25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5280660</wp:posOffset>
            </wp:positionH>
            <wp:positionV relativeFrom="paragraph">
              <wp:posOffset>-617855</wp:posOffset>
            </wp:positionV>
            <wp:extent cx="57785" cy="631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-1623695</wp:posOffset>
            </wp:positionH>
            <wp:positionV relativeFrom="paragraph">
              <wp:posOffset>13970</wp:posOffset>
            </wp:positionV>
            <wp:extent cx="7047230" cy="6341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7230" cy="6341110"/>
                    </a:xfrm>
                    <a:prstGeom prst="rect">
                      <a:avLst/>
                    </a:prstGeom>
                    <a:noFill/>
                  </pic:spPr>
                </pic:pic>
              </a:graphicData>
            </a:graphic>
          </wp:anchor>
        </w:drawing>
      </w:r>
    </w:p>
    <w:p>
      <w:pPr>
        <w:spacing w:after="0" w:line="90" w:lineRule="exact"/>
        <w:rPr>
          <w:sz w:val="24"/>
          <w:szCs w:val="24"/>
          <w:color w:val="auto"/>
        </w:rPr>
      </w:pPr>
    </w:p>
    <w:p>
      <w:pPr>
        <w:sectPr>
          <w:pgSz w:w="11900" w:h="16915" w:orient="portrait"/>
          <w:cols w:equalWidth="0" w:num="2">
            <w:col w:w="2020" w:space="520"/>
            <w:col w:w="854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1">
        <w:r>
          <w:rPr>
            <w:rFonts w:ascii="Arial" w:cs="Arial" w:eastAsia="Arial" w:hAnsi="Arial"/>
            <w:sz w:val="20"/>
            <w:szCs w:val="20"/>
            <w:u w:val="single" w:color="auto"/>
            <w:color w:val="0000EE"/>
          </w:rPr>
          <w:t>Eggers Daniel 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1310 POINT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8"/>
          <w:szCs w:val="18"/>
          <w:color w:val="0000EE"/>
        </w:rPr>
      </w:pPr>
      <w:hyperlink r:id="rId12">
        <w:r>
          <w:rPr>
            <w:rFonts w:ascii="Arial" w:cs="Arial" w:eastAsia="Arial" w:hAnsi="Arial"/>
            <w:sz w:val="18"/>
            <w:szCs w:val="18"/>
            <w:u w:val="single" w:color="auto"/>
            <w:color w:val="0000EE"/>
          </w:rPr>
          <w:t>Constellation Energy Corp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CEG</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02/08/2022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65"/>
        <w:spacing w:after="0"/>
        <w:rPr>
          <w:sz w:val="20"/>
          <w:szCs w:val="20"/>
          <w:color w:val="auto"/>
        </w:rPr>
      </w:pPr>
      <w:r>
        <w:rPr>
          <w:rFonts w:ascii="Arial" w:cs="Arial" w:eastAsia="Arial" w:hAnsi="Arial"/>
          <w:sz w:val="17"/>
          <w:szCs w:val="17"/>
          <w:color w:val="0000FF"/>
        </w:rPr>
        <w:t>EVP &amp; CFO</w:t>
      </w:r>
    </w:p>
    <w:p>
      <w:pPr>
        <w:spacing w:after="0" w:line="299" w:lineRule="exact"/>
        <w:rPr>
          <w:sz w:val="24"/>
          <w:szCs w:val="24"/>
          <w:color w:val="auto"/>
        </w:rPr>
      </w:pPr>
    </w:p>
    <w:p>
      <w:pPr>
        <w:sectPr>
          <w:pgSz w:w="11900" w:h="16915" w:orient="portrait"/>
          <w:cols w:equalWidth="0" w:num="3">
            <w:col w:w="3180" w:space="720"/>
            <w:col w:w="3115" w:space="720"/>
            <w:col w:w="3345"/>
          </w:cols>
          <w:pgMar w:left="460" w:top="220"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BALTIMORE</w:t>
            </w:r>
          </w:p>
        </w:tc>
        <w:tc>
          <w:tcPr>
            <w:tcW w:w="940" w:type="dxa"/>
            <w:vAlign w:val="bottom"/>
          </w:tcPr>
          <w:p>
            <w:pPr>
              <w:ind w:left="140"/>
              <w:spacing w:after="0"/>
              <w:rPr>
                <w:sz w:val="20"/>
                <w:szCs w:val="20"/>
                <w:color w:val="auto"/>
              </w:rPr>
            </w:pPr>
            <w:r>
              <w:rPr>
                <w:rFonts w:ascii="Arial" w:cs="Arial" w:eastAsia="Arial" w:hAnsi="Arial"/>
                <w:sz w:val="17"/>
                <w:szCs w:val="17"/>
                <w:color w:val="0000FF"/>
              </w:rPr>
              <w:t>MD</w:t>
            </w:r>
          </w:p>
        </w:tc>
        <w:tc>
          <w:tcPr>
            <w:tcW w:w="1620" w:type="dxa"/>
            <w:vAlign w:val="bottom"/>
          </w:tcPr>
          <w:p>
            <w:pPr>
              <w:ind w:left="420"/>
              <w:spacing w:after="0"/>
              <w:rPr>
                <w:sz w:val="20"/>
                <w:szCs w:val="20"/>
                <w:color w:val="auto"/>
              </w:rPr>
            </w:pPr>
            <w:r>
              <w:rPr>
                <w:rFonts w:ascii="Arial" w:cs="Arial" w:eastAsia="Arial" w:hAnsi="Arial"/>
                <w:sz w:val="17"/>
                <w:szCs w:val="17"/>
                <w:color w:val="0000FF"/>
              </w:rPr>
              <w:t>21231</w:t>
            </w: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1" w:lineRule="exact"/>
        <w:rPr>
          <w:sz w:val="24"/>
          <w:szCs w:val="24"/>
          <w:color w:val="auto"/>
        </w:rPr>
      </w:pPr>
    </w:p>
    <w:p>
      <w:pPr>
        <w:sectPr>
          <w:pgSz w:w="11900" w:h="16915"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8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14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jc w:val="right"/>
              <w:ind w:right="285"/>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80"/>
              <w:spacing w:after="0"/>
              <w:rPr>
                <w:sz w:val="20"/>
                <w:szCs w:val="20"/>
                <w:color w:val="auto"/>
              </w:rPr>
            </w:pPr>
            <w:r>
              <w:rPr>
                <w:rFonts w:ascii="Arial" w:cs="Arial" w:eastAsia="Arial" w:hAnsi="Arial"/>
                <w:sz w:val="11"/>
                <w:szCs w:val="11"/>
                <w:b w:val="1"/>
                <w:bCs w:val="1"/>
                <w:color w:val="auto"/>
                <w:w w:val="95"/>
              </w:rPr>
              <w:t>(A) or</w:t>
            </w: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60"/>
              <w:spacing w:after="0" w:line="306" w:lineRule="exact"/>
              <w:rPr>
                <w:sz w:val="20"/>
                <w:szCs w:val="20"/>
                <w:color w:val="auto"/>
              </w:rPr>
            </w:pPr>
            <w:r>
              <w:rPr>
                <w:rFonts w:ascii="Arial" w:cs="Arial" w:eastAsia="Arial" w:hAnsi="Arial"/>
                <w:sz w:val="33"/>
                <w:szCs w:val="33"/>
                <w:color w:val="0000FF"/>
                <w:vertAlign w:val="subscript"/>
              </w:rPr>
              <w:t>4,984</w:t>
            </w:r>
            <w:r>
              <w:rPr>
                <w:rFonts w:ascii="Arial" w:cs="Arial" w:eastAsia="Arial" w:hAnsi="Arial"/>
                <w:sz w:val="11"/>
                <w:szCs w:val="11"/>
                <w:color w:val="008000"/>
              </w:rPr>
              <w:t>(1)(6)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1"/>
                <w:szCs w:val="11"/>
                <w:color w:val="auto"/>
              </w:rPr>
            </w:pPr>
          </w:p>
        </w:tc>
        <w:tc>
          <w:tcPr>
            <w:tcW w:w="800" w:type="dxa"/>
            <w:vAlign w:val="bottom"/>
            <w:gridSpan w:val="2"/>
          </w:tcPr>
          <w:p>
            <w:pPr>
              <w:jc w:val="right"/>
              <w:ind w:right="65"/>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jc w:val="right"/>
              <w:ind w:right="385"/>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gridSpan w:val="2"/>
          </w:tcPr>
          <w:p>
            <w:pPr>
              <w:ind w:left="80"/>
              <w:spacing w:after="0"/>
              <w:rPr>
                <w:sz w:val="20"/>
                <w:szCs w:val="20"/>
                <w:color w:val="auto"/>
              </w:rPr>
            </w:pPr>
            <w:r>
              <w:rPr>
                <w:rFonts w:ascii="Arial" w:cs="Arial" w:eastAsia="Arial" w:hAnsi="Arial"/>
                <w:sz w:val="13"/>
                <w:szCs w:val="13"/>
                <w:color w:val="0000FF"/>
              </w:rPr>
              <w:t>2022</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81"/>
              <w:spacing w:after="0"/>
              <w:rPr>
                <w:sz w:val="20"/>
                <w:szCs w:val="20"/>
                <w:color w:val="auto"/>
              </w:rPr>
            </w:pPr>
            <w:r>
              <w:rPr>
                <w:rFonts w:ascii="Arial" w:cs="Arial" w:eastAsia="Arial" w:hAnsi="Arial"/>
                <w:sz w:val="13"/>
                <w:szCs w:val="13"/>
                <w:color w:val="0000FF"/>
              </w:rPr>
              <w:t>02/08/2022</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120"/>
              <w:spacing w:after="0"/>
              <w:rPr>
                <w:sz w:val="20"/>
                <w:szCs w:val="20"/>
                <w:color w:val="auto"/>
              </w:rPr>
            </w:pPr>
            <w:r>
              <w:rPr>
                <w:rFonts w:ascii="Arial" w:cs="Arial" w:eastAsia="Arial" w:hAnsi="Arial"/>
                <w:sz w:val="13"/>
                <w:szCs w:val="13"/>
                <w:color w:val="0000FF"/>
                <w:w w:val="95"/>
              </w:rPr>
              <w:t>11,385</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1"/>
                <w:szCs w:val="11"/>
                <w:color w:val="008000"/>
              </w:rPr>
              <w:t>(2)</w:t>
            </w:r>
          </w:p>
        </w:tc>
        <w:tc>
          <w:tcPr>
            <w:tcW w:w="300" w:type="dxa"/>
            <w:vAlign w:val="bottom"/>
          </w:tcPr>
          <w:p>
            <w:pPr>
              <w:spacing w:after="0"/>
              <w:rPr>
                <w:sz w:val="12"/>
                <w:szCs w:val="12"/>
                <w:color w:val="auto"/>
              </w:rPr>
            </w:pPr>
          </w:p>
        </w:tc>
        <w:tc>
          <w:tcPr>
            <w:tcW w:w="500" w:type="dxa"/>
            <w:vAlign w:val="bottom"/>
            <w:vMerge w:val="restart"/>
          </w:tcPr>
          <w:p>
            <w:pPr>
              <w:jc w:val="right"/>
              <w:ind w:right="285"/>
              <w:spacing w:after="0"/>
              <w:rPr>
                <w:sz w:val="20"/>
                <w:szCs w:val="20"/>
                <w:color w:val="auto"/>
              </w:rPr>
            </w:pPr>
            <w:r>
              <w:rPr>
                <w:rFonts w:ascii="Arial" w:cs="Arial" w:eastAsia="Arial" w:hAnsi="Arial"/>
                <w:sz w:val="11"/>
                <w:szCs w:val="11"/>
                <w:color w:val="008000"/>
              </w:rPr>
              <w:t>(2)</w:t>
            </w:r>
          </w:p>
        </w:tc>
        <w:tc>
          <w:tcPr>
            <w:tcW w:w="580" w:type="dxa"/>
            <w:vAlign w:val="bottom"/>
          </w:tcPr>
          <w:p>
            <w:pPr>
              <w:ind w:left="20"/>
              <w:spacing w:after="0" w:line="140" w:lineRule="exact"/>
              <w:rPr>
                <w:sz w:val="20"/>
                <w:szCs w:val="20"/>
                <w:color w:val="auto"/>
              </w:rPr>
            </w:pPr>
            <w:r>
              <w:rPr>
                <w:rFonts w:ascii="Arial" w:cs="Arial" w:eastAsia="Arial" w:hAnsi="Arial"/>
                <w:sz w:val="13"/>
                <w:szCs w:val="13"/>
                <w:color w:val="0000FF"/>
              </w:rPr>
              <w:t>Common</w:t>
            </w:r>
          </w:p>
        </w:tc>
        <w:tc>
          <w:tcPr>
            <w:tcW w:w="100" w:type="dxa"/>
            <w:vAlign w:val="bottom"/>
          </w:tcPr>
          <w:p>
            <w:pPr>
              <w:spacing w:after="0"/>
              <w:rPr>
                <w:sz w:val="12"/>
                <w:szCs w:val="12"/>
                <w:color w:val="auto"/>
              </w:rPr>
            </w:pPr>
          </w:p>
        </w:tc>
        <w:tc>
          <w:tcPr>
            <w:tcW w:w="640" w:type="dxa"/>
            <w:vAlign w:val="bottom"/>
            <w:vMerge w:val="restart"/>
          </w:tcPr>
          <w:p>
            <w:pPr>
              <w:jc w:val="center"/>
              <w:ind w:right="57"/>
              <w:spacing w:after="0"/>
              <w:rPr>
                <w:sz w:val="20"/>
                <w:szCs w:val="20"/>
                <w:color w:val="auto"/>
              </w:rPr>
            </w:pPr>
            <w:r>
              <w:rPr>
                <w:rFonts w:ascii="Arial" w:cs="Arial" w:eastAsia="Arial" w:hAnsi="Arial"/>
                <w:sz w:val="17"/>
                <w:szCs w:val="17"/>
                <w:color w:val="0000FF"/>
                <w:w w:val="84"/>
              </w:rPr>
              <w:t>11,385</w:t>
            </w: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11,385</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580" w:type="dxa"/>
            <w:vAlign w:val="bottom"/>
            <w:vMerge w:val="restart"/>
          </w:tcPr>
          <w:p>
            <w:pPr>
              <w:ind w:left="120"/>
              <w:spacing w:after="0" w:line="140" w:lineRule="exact"/>
              <w:rPr>
                <w:sz w:val="20"/>
                <w:szCs w:val="20"/>
                <w:color w:val="auto"/>
              </w:rPr>
            </w:pPr>
            <w:r>
              <w:rPr>
                <w:rFonts w:ascii="Arial" w:cs="Arial" w:eastAsia="Arial" w:hAnsi="Arial"/>
                <w:sz w:val="13"/>
                <w:szCs w:val="13"/>
                <w:color w:val="0000FF"/>
              </w:rPr>
              <w:t>Stock</w:t>
            </w: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gridSpan w:val="2"/>
          </w:tcPr>
          <w:p>
            <w:pPr>
              <w:ind w:left="80"/>
              <w:spacing w:after="0"/>
              <w:rPr>
                <w:sz w:val="20"/>
                <w:szCs w:val="20"/>
                <w:color w:val="auto"/>
              </w:rPr>
            </w:pPr>
            <w:r>
              <w:rPr>
                <w:rFonts w:ascii="Arial" w:cs="Arial" w:eastAsia="Arial" w:hAnsi="Arial"/>
                <w:sz w:val="13"/>
                <w:szCs w:val="13"/>
                <w:color w:val="0000FF"/>
              </w:rPr>
              <w:t>2020</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1"/>
                <w:szCs w:val="11"/>
                <w:color w:val="008000"/>
              </w:rPr>
              <w:t>(2)</w:t>
            </w:r>
          </w:p>
        </w:tc>
        <w:tc>
          <w:tcPr>
            <w:tcW w:w="300" w:type="dxa"/>
            <w:vAlign w:val="bottom"/>
          </w:tcPr>
          <w:p>
            <w:pPr>
              <w:spacing w:after="0"/>
              <w:rPr>
                <w:sz w:val="17"/>
                <w:szCs w:val="17"/>
                <w:color w:val="auto"/>
              </w:rPr>
            </w:pPr>
          </w:p>
        </w:tc>
        <w:tc>
          <w:tcPr>
            <w:tcW w:w="500" w:type="dxa"/>
            <w:vAlign w:val="bottom"/>
          </w:tcPr>
          <w:p>
            <w:pPr>
              <w:jc w:val="right"/>
              <w:ind w:right="285"/>
              <w:spacing w:after="0"/>
              <w:rPr>
                <w:sz w:val="20"/>
                <w:szCs w:val="20"/>
                <w:color w:val="auto"/>
              </w:rPr>
            </w:pPr>
            <w:r>
              <w:rPr>
                <w:rFonts w:ascii="Arial" w:cs="Arial" w:eastAsia="Arial" w:hAnsi="Arial"/>
                <w:sz w:val="11"/>
                <w:szCs w:val="11"/>
                <w:color w:val="008000"/>
              </w:rPr>
              <w:t>(2)</w:t>
            </w:r>
          </w:p>
        </w:tc>
        <w:tc>
          <w:tcPr>
            <w:tcW w:w="580" w:type="dxa"/>
            <w:vAlign w:val="bottom"/>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tcPr>
          <w:p>
            <w:pPr>
              <w:jc w:val="center"/>
              <w:spacing w:after="0" w:line="200" w:lineRule="exact"/>
              <w:rPr>
                <w:sz w:val="20"/>
                <w:szCs w:val="20"/>
                <w:color w:val="auto"/>
              </w:rPr>
            </w:pPr>
            <w:r>
              <w:rPr>
                <w:rFonts w:ascii="Arial" w:cs="Arial" w:eastAsia="Arial" w:hAnsi="Arial"/>
                <w:sz w:val="23"/>
                <w:szCs w:val="23"/>
                <w:color w:val="0000FF"/>
                <w:w w:val="99"/>
                <w:vertAlign w:val="subscript"/>
              </w:rPr>
              <w:t>1,455</w:t>
            </w:r>
            <w:r>
              <w:rPr>
                <w:rFonts w:ascii="Arial" w:cs="Arial" w:eastAsia="Arial" w:hAnsi="Arial"/>
                <w:sz w:val="9"/>
                <w:szCs w:val="9"/>
                <w:color w:val="008000"/>
                <w:w w:val="99"/>
              </w:rPr>
              <w:t>(3)(6)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gridSpan w:val="2"/>
          </w:tcPr>
          <w:p>
            <w:pPr>
              <w:jc w:val="center"/>
              <w:spacing w:after="0" w:line="200" w:lineRule="exact"/>
              <w:rPr>
                <w:sz w:val="20"/>
                <w:szCs w:val="20"/>
                <w:color w:val="auto"/>
              </w:rPr>
            </w:pPr>
            <w:r>
              <w:rPr>
                <w:rFonts w:ascii="Arial" w:cs="Arial" w:eastAsia="Arial" w:hAnsi="Arial"/>
                <w:sz w:val="23"/>
                <w:szCs w:val="23"/>
                <w:color w:val="0000FF"/>
                <w:w w:val="82"/>
                <w:vertAlign w:val="subscript"/>
              </w:rPr>
              <w:t>1,455</w:t>
            </w:r>
            <w:r>
              <w:rPr>
                <w:rFonts w:ascii="Arial" w:cs="Arial" w:eastAsia="Arial" w:hAnsi="Arial"/>
                <w:sz w:val="10"/>
                <w:szCs w:val="10"/>
                <w:color w:val="008000"/>
                <w:w w:val="82"/>
              </w:rPr>
              <w:t>(3)(6)</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ind w:left="120"/>
              <w:spacing w:after="0" w:line="81" w:lineRule="exact"/>
              <w:rPr>
                <w:sz w:val="20"/>
                <w:szCs w:val="20"/>
                <w:color w:val="auto"/>
              </w:rPr>
            </w:pPr>
            <w:r>
              <w:rPr>
                <w:rFonts w:ascii="Arial" w:cs="Arial" w:eastAsia="Arial" w:hAnsi="Arial"/>
                <w:sz w:val="8"/>
                <w:szCs w:val="8"/>
                <w:color w:val="0000FF"/>
              </w:rPr>
              <w:t>Stock</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gridSpan w:val="2"/>
          </w:tcPr>
          <w:p>
            <w:pPr>
              <w:ind w:left="80"/>
              <w:spacing w:after="0"/>
              <w:rPr>
                <w:sz w:val="20"/>
                <w:szCs w:val="20"/>
                <w:color w:val="auto"/>
              </w:rPr>
            </w:pPr>
            <w:r>
              <w:rPr>
                <w:rFonts w:ascii="Arial" w:cs="Arial" w:eastAsia="Arial" w:hAnsi="Arial"/>
                <w:sz w:val="13"/>
                <w:szCs w:val="13"/>
                <w:color w:val="0000FF"/>
              </w:rPr>
              <w:t>2021</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1"/>
                <w:szCs w:val="11"/>
                <w:color w:val="008000"/>
              </w:rPr>
              <w:t>(2)</w:t>
            </w:r>
          </w:p>
        </w:tc>
        <w:tc>
          <w:tcPr>
            <w:tcW w:w="300" w:type="dxa"/>
            <w:vAlign w:val="bottom"/>
          </w:tcPr>
          <w:p>
            <w:pPr>
              <w:spacing w:after="0"/>
              <w:rPr>
                <w:sz w:val="17"/>
                <w:szCs w:val="17"/>
                <w:color w:val="auto"/>
              </w:rPr>
            </w:pPr>
          </w:p>
        </w:tc>
        <w:tc>
          <w:tcPr>
            <w:tcW w:w="500" w:type="dxa"/>
            <w:vAlign w:val="bottom"/>
          </w:tcPr>
          <w:p>
            <w:pPr>
              <w:jc w:val="right"/>
              <w:ind w:right="285"/>
              <w:spacing w:after="0"/>
              <w:rPr>
                <w:sz w:val="20"/>
                <w:szCs w:val="20"/>
                <w:color w:val="auto"/>
              </w:rPr>
            </w:pPr>
            <w:r>
              <w:rPr>
                <w:rFonts w:ascii="Arial" w:cs="Arial" w:eastAsia="Arial" w:hAnsi="Arial"/>
                <w:sz w:val="11"/>
                <w:szCs w:val="11"/>
                <w:color w:val="008000"/>
              </w:rPr>
              <w:t>(2)</w:t>
            </w:r>
          </w:p>
        </w:tc>
        <w:tc>
          <w:tcPr>
            <w:tcW w:w="580" w:type="dxa"/>
            <w:vAlign w:val="bottom"/>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tcPr>
          <w:p>
            <w:pPr>
              <w:jc w:val="center"/>
              <w:spacing w:after="0" w:line="200" w:lineRule="exact"/>
              <w:rPr>
                <w:sz w:val="20"/>
                <w:szCs w:val="20"/>
                <w:color w:val="auto"/>
              </w:rPr>
            </w:pPr>
            <w:r>
              <w:rPr>
                <w:rFonts w:ascii="Arial" w:cs="Arial" w:eastAsia="Arial" w:hAnsi="Arial"/>
                <w:sz w:val="23"/>
                <w:szCs w:val="23"/>
                <w:color w:val="0000FF"/>
                <w:w w:val="99"/>
                <w:vertAlign w:val="subscript"/>
              </w:rPr>
              <w:t>3,197</w:t>
            </w:r>
            <w:r>
              <w:rPr>
                <w:rFonts w:ascii="Arial" w:cs="Arial" w:eastAsia="Arial" w:hAnsi="Arial"/>
                <w:sz w:val="9"/>
                <w:szCs w:val="9"/>
                <w:color w:val="008000"/>
                <w:w w:val="99"/>
              </w:rPr>
              <w:t>(3)(6)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gridSpan w:val="2"/>
          </w:tcPr>
          <w:p>
            <w:pPr>
              <w:jc w:val="center"/>
              <w:spacing w:after="0" w:line="200" w:lineRule="exact"/>
              <w:rPr>
                <w:sz w:val="20"/>
                <w:szCs w:val="20"/>
                <w:color w:val="auto"/>
              </w:rPr>
            </w:pPr>
            <w:r>
              <w:rPr>
                <w:rFonts w:ascii="Arial" w:cs="Arial" w:eastAsia="Arial" w:hAnsi="Arial"/>
                <w:sz w:val="23"/>
                <w:szCs w:val="23"/>
                <w:color w:val="0000FF"/>
                <w:w w:val="82"/>
                <w:vertAlign w:val="subscript"/>
              </w:rPr>
              <w:t>3,197</w:t>
            </w:r>
            <w:r>
              <w:rPr>
                <w:rFonts w:ascii="Arial" w:cs="Arial" w:eastAsia="Arial" w:hAnsi="Arial"/>
                <w:sz w:val="10"/>
                <w:szCs w:val="10"/>
                <w:color w:val="008000"/>
                <w:w w:val="82"/>
              </w:rPr>
              <w:t>(3)(6)</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ind w:left="120"/>
              <w:spacing w:after="0" w:line="81" w:lineRule="exact"/>
              <w:rPr>
                <w:sz w:val="20"/>
                <w:szCs w:val="20"/>
                <w:color w:val="auto"/>
              </w:rPr>
            </w:pPr>
            <w:r>
              <w:rPr>
                <w:rFonts w:ascii="Arial" w:cs="Arial" w:eastAsia="Arial" w:hAnsi="Arial"/>
                <w:sz w:val="8"/>
                <w:szCs w:val="8"/>
                <w:color w:val="0000FF"/>
              </w:rPr>
              <w:t>Stock</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gridSpan w:val="2"/>
          </w:tcPr>
          <w:p>
            <w:pPr>
              <w:ind w:left="80"/>
              <w:spacing w:after="0"/>
              <w:rPr>
                <w:sz w:val="20"/>
                <w:szCs w:val="20"/>
                <w:color w:val="auto"/>
              </w:rPr>
            </w:pPr>
            <w:r>
              <w:rPr>
                <w:rFonts w:ascii="Arial" w:cs="Arial" w:eastAsia="Arial" w:hAnsi="Arial"/>
                <w:sz w:val="13"/>
                <w:szCs w:val="13"/>
                <w:color w:val="0000FF"/>
              </w:rPr>
              <w:t>2022</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ind w:left="320"/>
              <w:spacing w:after="0"/>
              <w:rPr>
                <w:sz w:val="20"/>
                <w:szCs w:val="20"/>
                <w:color w:val="auto"/>
              </w:rPr>
            </w:pPr>
            <w:r>
              <w:rPr>
                <w:rFonts w:ascii="Arial" w:cs="Arial" w:eastAsia="Arial" w:hAnsi="Arial"/>
                <w:sz w:val="11"/>
                <w:szCs w:val="11"/>
                <w:color w:val="008000"/>
              </w:rPr>
              <w:t>(5)</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1"/>
                <w:szCs w:val="11"/>
                <w:color w:val="008000"/>
              </w:rPr>
              <w:t>(5)</w:t>
            </w:r>
          </w:p>
        </w:tc>
        <w:tc>
          <w:tcPr>
            <w:tcW w:w="300" w:type="dxa"/>
            <w:vAlign w:val="bottom"/>
          </w:tcPr>
          <w:p>
            <w:pPr>
              <w:spacing w:after="0"/>
              <w:rPr>
                <w:sz w:val="17"/>
                <w:szCs w:val="17"/>
                <w:color w:val="auto"/>
              </w:rPr>
            </w:pPr>
          </w:p>
        </w:tc>
        <w:tc>
          <w:tcPr>
            <w:tcW w:w="500" w:type="dxa"/>
            <w:vAlign w:val="bottom"/>
          </w:tcPr>
          <w:p>
            <w:pPr>
              <w:jc w:val="right"/>
              <w:ind w:right="285"/>
              <w:spacing w:after="0"/>
              <w:rPr>
                <w:sz w:val="20"/>
                <w:szCs w:val="20"/>
                <w:color w:val="auto"/>
              </w:rPr>
            </w:pPr>
            <w:r>
              <w:rPr>
                <w:rFonts w:ascii="Arial" w:cs="Arial" w:eastAsia="Arial" w:hAnsi="Arial"/>
                <w:sz w:val="11"/>
                <w:szCs w:val="11"/>
                <w:color w:val="008000"/>
              </w:rPr>
              <w:t>(5)</w:t>
            </w:r>
          </w:p>
        </w:tc>
        <w:tc>
          <w:tcPr>
            <w:tcW w:w="580" w:type="dxa"/>
            <w:vAlign w:val="bottom"/>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tcPr>
          <w:p>
            <w:pPr>
              <w:jc w:val="center"/>
              <w:spacing w:after="0" w:line="200" w:lineRule="exact"/>
              <w:rPr>
                <w:sz w:val="20"/>
                <w:szCs w:val="20"/>
                <w:color w:val="auto"/>
              </w:rPr>
            </w:pPr>
            <w:r>
              <w:rPr>
                <w:rFonts w:ascii="Arial" w:cs="Arial" w:eastAsia="Arial" w:hAnsi="Arial"/>
                <w:sz w:val="23"/>
                <w:szCs w:val="23"/>
                <w:color w:val="0000FF"/>
                <w:w w:val="99"/>
                <w:vertAlign w:val="subscript"/>
              </w:rPr>
              <w:t>8,675</w:t>
            </w:r>
            <w:r>
              <w:rPr>
                <w:rFonts w:ascii="Arial" w:cs="Arial" w:eastAsia="Arial" w:hAnsi="Arial"/>
                <w:sz w:val="9"/>
                <w:szCs w:val="9"/>
                <w:color w:val="008000"/>
                <w:w w:val="99"/>
              </w:rPr>
              <w:t>(4)(6)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gridSpan w:val="2"/>
          </w:tcPr>
          <w:p>
            <w:pPr>
              <w:jc w:val="center"/>
              <w:spacing w:after="0" w:line="200" w:lineRule="exact"/>
              <w:rPr>
                <w:sz w:val="20"/>
                <w:szCs w:val="20"/>
                <w:color w:val="auto"/>
              </w:rPr>
            </w:pPr>
            <w:r>
              <w:rPr>
                <w:rFonts w:ascii="Arial" w:cs="Arial" w:eastAsia="Arial" w:hAnsi="Arial"/>
                <w:sz w:val="23"/>
                <w:szCs w:val="23"/>
                <w:color w:val="0000FF"/>
                <w:w w:val="82"/>
                <w:vertAlign w:val="subscript"/>
              </w:rPr>
              <w:t>8,675</w:t>
            </w:r>
            <w:r>
              <w:rPr>
                <w:rFonts w:ascii="Arial" w:cs="Arial" w:eastAsia="Arial" w:hAnsi="Arial"/>
                <w:sz w:val="10"/>
                <w:szCs w:val="10"/>
                <w:color w:val="008000"/>
                <w:w w:val="82"/>
              </w:rPr>
              <w:t>(4)(6)</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ind w:left="60"/>
              <w:spacing w:after="0" w:line="81" w:lineRule="exact"/>
              <w:rPr>
                <w:sz w:val="20"/>
                <w:szCs w:val="20"/>
                <w:color w:val="auto"/>
              </w:rPr>
            </w:pPr>
            <w:r>
              <w:rPr>
                <w:rFonts w:ascii="Arial" w:cs="Arial" w:eastAsia="Arial" w:hAnsi="Arial"/>
                <w:sz w:val="8"/>
                <w:szCs w:val="8"/>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ind w:left="120"/>
              <w:spacing w:after="0" w:line="81" w:lineRule="exact"/>
              <w:rPr>
                <w:sz w:val="20"/>
                <w:szCs w:val="20"/>
                <w:color w:val="auto"/>
              </w:rPr>
            </w:pPr>
            <w:r>
              <w:rPr>
                <w:rFonts w:ascii="Arial" w:cs="Arial" w:eastAsia="Arial" w:hAnsi="Arial"/>
                <w:sz w:val="8"/>
                <w:szCs w:val="8"/>
                <w:color w:val="0000FF"/>
              </w:rPr>
              <w:t>Stock</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Deferred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1"/>
                <w:szCs w:val="11"/>
                <w:color w:val="008000"/>
              </w:rPr>
              <w:t>(7)</w:t>
            </w:r>
          </w:p>
        </w:tc>
        <w:tc>
          <w:tcPr>
            <w:tcW w:w="300" w:type="dxa"/>
            <w:vAlign w:val="bottom"/>
          </w:tcPr>
          <w:p>
            <w:pPr>
              <w:spacing w:after="0"/>
              <w:rPr>
                <w:sz w:val="12"/>
                <w:szCs w:val="12"/>
                <w:color w:val="auto"/>
              </w:rPr>
            </w:pPr>
          </w:p>
        </w:tc>
        <w:tc>
          <w:tcPr>
            <w:tcW w:w="500" w:type="dxa"/>
            <w:vAlign w:val="bottom"/>
            <w:vMerge w:val="restart"/>
          </w:tcPr>
          <w:p>
            <w:pPr>
              <w:jc w:val="right"/>
              <w:ind w:right="285"/>
              <w:spacing w:after="0"/>
              <w:rPr>
                <w:sz w:val="20"/>
                <w:szCs w:val="20"/>
                <w:color w:val="auto"/>
              </w:rPr>
            </w:pPr>
            <w:r>
              <w:rPr>
                <w:rFonts w:ascii="Arial" w:cs="Arial" w:eastAsia="Arial" w:hAnsi="Arial"/>
                <w:sz w:val="11"/>
                <w:szCs w:val="11"/>
                <w:color w:val="008000"/>
              </w:rPr>
              <w:t>(7)</w:t>
            </w:r>
          </w:p>
        </w:tc>
        <w:tc>
          <w:tcPr>
            <w:tcW w:w="580" w:type="dxa"/>
            <w:vAlign w:val="bottom"/>
          </w:tcPr>
          <w:p>
            <w:pPr>
              <w:ind w:left="20"/>
              <w:spacing w:after="0" w:line="140" w:lineRule="exact"/>
              <w:rPr>
                <w:sz w:val="20"/>
                <w:szCs w:val="20"/>
                <w:color w:val="auto"/>
              </w:rPr>
            </w:pPr>
            <w:r>
              <w:rPr>
                <w:rFonts w:ascii="Arial" w:cs="Arial" w:eastAsia="Arial" w:hAnsi="Arial"/>
                <w:sz w:val="13"/>
                <w:szCs w:val="13"/>
                <w:color w:val="0000FF"/>
              </w:rPr>
              <w:t>Common</w:t>
            </w:r>
          </w:p>
        </w:tc>
        <w:tc>
          <w:tcPr>
            <w:tcW w:w="100" w:type="dxa"/>
            <w:vAlign w:val="bottom"/>
          </w:tcPr>
          <w:p>
            <w:pPr>
              <w:spacing w:after="0"/>
              <w:rPr>
                <w:sz w:val="12"/>
                <w:szCs w:val="12"/>
                <w:color w:val="auto"/>
              </w:rPr>
            </w:pPr>
          </w:p>
        </w:tc>
        <w:tc>
          <w:tcPr>
            <w:tcW w:w="640" w:type="dxa"/>
            <w:vAlign w:val="bottom"/>
            <w:vMerge w:val="restart"/>
          </w:tcPr>
          <w:p>
            <w:pPr>
              <w:jc w:val="center"/>
              <w:ind w:right="57"/>
              <w:spacing w:after="0" w:line="264" w:lineRule="exact"/>
              <w:rPr>
                <w:sz w:val="20"/>
                <w:szCs w:val="20"/>
                <w:color w:val="auto"/>
              </w:rPr>
            </w:pPr>
            <w:r>
              <w:rPr>
                <w:rFonts w:ascii="Arial" w:cs="Arial" w:eastAsia="Arial" w:hAnsi="Arial"/>
                <w:sz w:val="30"/>
                <w:szCs w:val="30"/>
                <w:color w:val="0000FF"/>
                <w:w w:val="82"/>
                <w:vertAlign w:val="subscript"/>
              </w:rPr>
              <w:t>645</w:t>
            </w:r>
            <w:r>
              <w:rPr>
                <w:rFonts w:ascii="Arial" w:cs="Arial" w:eastAsia="Arial" w:hAnsi="Arial"/>
                <w:sz w:val="10"/>
                <w:szCs w:val="10"/>
                <w:color w:val="008000"/>
                <w:w w:val="82"/>
              </w:rPr>
              <w:t>(3)(6)</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spacing w:after="0" w:line="263" w:lineRule="exact"/>
              <w:rPr>
                <w:sz w:val="20"/>
                <w:szCs w:val="20"/>
                <w:color w:val="auto"/>
              </w:rPr>
            </w:pPr>
            <w:r>
              <w:rPr>
                <w:rFonts w:ascii="Arial" w:cs="Arial" w:eastAsia="Arial" w:hAnsi="Arial"/>
                <w:sz w:val="25"/>
                <w:szCs w:val="25"/>
                <w:color w:val="0000FF"/>
                <w:w w:val="80"/>
                <w:vertAlign w:val="subscript"/>
              </w:rPr>
              <w:t>645</w:t>
            </w:r>
            <w:r>
              <w:rPr>
                <w:rFonts w:ascii="Arial" w:cs="Arial" w:eastAsia="Arial" w:hAnsi="Arial"/>
                <w:sz w:val="11"/>
                <w:szCs w:val="11"/>
                <w:color w:val="008000"/>
                <w:w w:val="80"/>
              </w:rPr>
              <w:t>(3)(6)</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8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separation of the Issuer from Exelon Corp. effective February 1, 2022 (the "Spin-Off"), as further described in the Issuer's current report on Form 8-K filed on February 2, 2022, each Exelon Corp. shareholder received a pro-rata dividend in the form of one share of the Issuer's common stock ("Common Stock") for every three shares of Exelon Corp. common stock held by such shareholder on the January 20, 2022 record date.</w:t>
      </w:r>
    </w:p>
    <w:p>
      <w:pPr>
        <w:spacing w:after="0" w:line="29" w:lineRule="exact"/>
        <w:rPr>
          <w:rFonts w:ascii="Arial" w:cs="Arial" w:eastAsia="Arial" w:hAnsi="Arial"/>
          <w:sz w:val="13"/>
          <w:szCs w:val="13"/>
          <w:color w:val="008000"/>
        </w:rPr>
      </w:pPr>
    </w:p>
    <w:p>
      <w:pPr>
        <w:jc w:val="both"/>
        <w:ind w:left="40" w:right="24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vest in 1/3 increments on the dates of the Compensation Committee's first-quarter meetings held in the first, second, and third years after the grant date (see Column 1 for year of grant). Each RSU represents the right to receive one share of Common Stock upon vesting. These RSUs accrue quarterly dividend equivalents in the form of additional RSUs representing common stock dividends as approved by the Issuer's board of directors, which vest on the same schedule as the underlying RSU.</w:t>
      </w:r>
    </w:p>
    <w:p>
      <w:pPr>
        <w:spacing w:after="0" w:line="29" w:lineRule="exact"/>
        <w:rPr>
          <w:rFonts w:ascii="Arial" w:cs="Arial" w:eastAsia="Arial" w:hAnsi="Arial"/>
          <w:sz w:val="13"/>
          <w:szCs w:val="13"/>
          <w:color w:val="008000"/>
        </w:rPr>
      </w:pPr>
    </w:p>
    <w:p>
      <w:pPr>
        <w:ind w:left="40" w:right="320"/>
        <w:spacing w:after="0" w:line="231"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Spin-Off, each Exelon RSU and deferred stock unit ("DSU") held immediately prior to the Spin Off by a Constellation employee or director was replaced with a substitute Constellation RSU or DSU in an amount equal to the number of Exelon RSUs or DSUs multiplied by a fraction, the numerator of which is the volume-weighted average price of Exelon common stock for the five trading days preceding and including February 1, 2022, and the denominator of which is the volume-weighted average price of Common Stock for the five trading days beginning February 2, 2022 (such fraction, the "Constellation Conversion Ratio"). Each substitute Constellation RSU and DSU shall vest based on the holder's continued employment or service, and otherwise shall have substantially the same terms and conditions as the corresponding Exelon RSU and DSU.</w:t>
      </w:r>
    </w:p>
    <w:p>
      <w:pPr>
        <w:spacing w:after="0" w:line="30" w:lineRule="exact"/>
        <w:rPr>
          <w:rFonts w:ascii="Arial" w:cs="Arial" w:eastAsia="Arial" w:hAnsi="Arial"/>
          <w:sz w:val="13"/>
          <w:szCs w:val="13"/>
          <w:color w:val="008000"/>
        </w:rPr>
      </w:pPr>
    </w:p>
    <w:p>
      <w:pPr>
        <w:ind w:left="40" w:right="160"/>
        <w:spacing w:after="0" w:line="23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Spin-Off, each Exelon performance share award ("PSA") granted in 2020 and held immediately prior to the Spin Off by a Constellation employee was replaced with a substitute Constellation RSU in an amount equal to the number of Exelon Shares deemed to have been earned, as determined by the Exelon Compensation Committee prior to the Spin-Off based on projected performance results through the end of the applicable performance period, multiplied by the Constellation Conversion Ratio. Each substitute Constellation RSU shall continue to vest based on the holder's continued employment or service, and otherwise shall have substantially the same terms and conditions as the corresponding Exelon PSA.</w:t>
      </w:r>
    </w:p>
    <w:p>
      <w:pPr>
        <w:spacing w:after="0" w:line="29"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RSUs cliff vest in January 2023. Each RSU represents the right to receive one share of Common Stock upon vesting. These RSUs do not accrue quarterly dividends.</w:t>
      </w:r>
    </w:p>
    <w:p>
      <w:pPr>
        <w:spacing w:after="0" w:line="41" w:lineRule="exact"/>
        <w:rPr>
          <w:rFonts w:ascii="Arial" w:cs="Arial" w:eastAsia="Arial" w:hAnsi="Arial"/>
          <w:sz w:val="13"/>
          <w:szCs w:val="13"/>
          <w:color w:val="008000"/>
        </w:rPr>
      </w:pPr>
    </w:p>
    <w:p>
      <w:pPr>
        <w:ind w:left="40" w:right="36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acquired these shares of Common Stock, RSUs and DSUs in connection with the Spin-Off and such acquisitions were exempt from Section 16 of the Securities Exchange Act of 1934, as amended ("Exchange Act") pursuant to Rule 16a-9 under the Exchange Act.</w:t>
      </w:r>
    </w:p>
    <w:p>
      <w:pPr>
        <w:spacing w:after="0" w:line="27" w:lineRule="exact"/>
        <w:rPr>
          <w:rFonts w:ascii="Arial" w:cs="Arial" w:eastAsia="Arial" w:hAnsi="Arial"/>
          <w:sz w:val="13"/>
          <w:szCs w:val="13"/>
          <w:color w:val="008000"/>
        </w:rPr>
      </w:pPr>
    </w:p>
    <w:p>
      <w:pPr>
        <w:ind w:left="40" w:right="34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phantom DSUs represent units held in the Constellation stock fund in a multi-fund, non-qualified deferred compensation plan and will be settled, in cash, upon the reporting person's separation from the company for any reason. The balance of phantom DSUs may fluctuate due to periodic changes in the fund composition.</w:t>
      </w:r>
    </w:p>
    <w:p>
      <w:pPr>
        <w:ind w:left="6600"/>
        <w:spacing w:after="0" w:line="182" w:lineRule="auto"/>
        <w:rPr>
          <w:sz w:val="20"/>
          <w:szCs w:val="20"/>
          <w:color w:val="auto"/>
        </w:rPr>
      </w:pPr>
      <w:r>
        <w:rPr>
          <w:rFonts w:ascii="Arial" w:cs="Arial" w:eastAsia="Arial" w:hAnsi="Arial"/>
          <w:sz w:val="16"/>
          <w:szCs w:val="16"/>
          <w:color w:val="0000FF"/>
        </w:rPr>
        <w:t xml:space="preserve">/s/ Brian Buck, Attorney-in-Fact </w:t>
      </w:r>
      <w:r>
        <w:rPr>
          <w:rFonts w:ascii="Arial" w:cs="Arial" w:eastAsia="Arial" w:hAnsi="Arial"/>
          <w:sz w:val="31"/>
          <w:szCs w:val="31"/>
          <w:color w:val="0000FF"/>
          <w:vertAlign w:val="subscript"/>
        </w:rPr>
        <w:t>02/10/2022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4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Daniel Eggers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746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7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15" w:orient="portrait"/>
          <w:cols w:equalWidth="0" w:num="1">
            <w:col w:w="11080"/>
          </w:cols>
          <w:pgMar w:left="460" w:top="22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908980" TargetMode="External"/><Relationship Id="rId12" Type="http://schemas.openxmlformats.org/officeDocument/2006/relationships/hyperlink" Target="http://www.sec.gov/cgi-bin/browse-edgar?action=getcompany&amp;CIK=00018682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2022-02-12T00:13:01Z</dcterms:created>
  <dcterms:modified xsi:type="dcterms:W3CDTF">2022-02-12T00:13:01Z</dcterms:modified>
</cp:coreProperties>
</file>