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120" w:type="dxa"/>
            <w:vAlign w:val="bottom"/>
          </w:tcPr>
          <w:p>
            <w:pPr>
              <w:spacing w:after="0"/>
              <w:rPr>
                <w:sz w:val="21"/>
                <w:szCs w:val="21"/>
                <w:color w:val="auto"/>
              </w:rPr>
            </w:pPr>
          </w:p>
        </w:tc>
        <w:tc>
          <w:tcPr>
            <w:tcW w:w="9140" w:type="dxa"/>
            <w:vAlign w:val="bottom"/>
            <w:gridSpan w:val="3"/>
          </w:tcPr>
          <w:p>
            <w:pPr>
              <w:ind w:left="8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r>
      <w:tr>
        <w:trPr>
          <w:trHeight w:val="245"/>
        </w:trPr>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40" w:type="dxa"/>
            <w:vAlign w:val="bottom"/>
          </w:tcPr>
          <w:p>
            <w:pPr>
              <w:ind w:left="1960"/>
              <w:spacing w:after="0"/>
              <w:rPr>
                <w:sz w:val="20"/>
                <w:szCs w:val="20"/>
                <w:color w:val="auto"/>
              </w:rPr>
            </w:pPr>
            <w:r>
              <w:rPr>
                <w:rFonts w:ascii="Arial" w:cs="Arial" w:eastAsia="Arial" w:hAnsi="Arial"/>
                <w:sz w:val="14"/>
                <w:szCs w:val="14"/>
                <w:b w:val="1"/>
                <w:bCs w:val="1"/>
                <w:color w:val="auto"/>
              </w:rPr>
              <w:t>For the Quarterly Period Ended June 30, 2023</w:t>
            </w:r>
          </w:p>
        </w:tc>
        <w:tc>
          <w:tcPr>
            <w:tcW w:w="1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00"/>
        </w:trPr>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tcPr>
          <w:p>
            <w:pPr>
              <w:ind w:left="3480"/>
              <w:spacing w:after="0"/>
              <w:rPr>
                <w:sz w:val="20"/>
                <w:szCs w:val="20"/>
                <w:color w:val="auto"/>
              </w:rPr>
            </w:pPr>
            <w:r>
              <w:rPr>
                <w:rFonts w:ascii="Arial" w:cs="Arial" w:eastAsia="Arial" w:hAnsi="Arial"/>
                <w:sz w:val="14"/>
                <w:szCs w:val="14"/>
                <w:b w:val="1"/>
                <w:bCs w:val="1"/>
                <w:color w:val="auto"/>
              </w:rPr>
              <w:t>or</w:t>
            </w: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25"/>
        </w:trPr>
        <w:tc>
          <w:tcPr>
            <w:tcW w:w="19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120" w:type="dxa"/>
            <w:vAlign w:val="bottom"/>
          </w:tcPr>
          <w:p>
            <w:pPr>
              <w:spacing w:after="0"/>
              <w:rPr>
                <w:sz w:val="24"/>
                <w:szCs w:val="24"/>
                <w:color w:val="auto"/>
              </w:rPr>
            </w:pPr>
          </w:p>
        </w:tc>
        <w:tc>
          <w:tcPr>
            <w:tcW w:w="9140" w:type="dxa"/>
            <w:vAlign w:val="bottom"/>
            <w:gridSpan w:val="3"/>
          </w:tcPr>
          <w:p>
            <w:pPr>
              <w:ind w:left="10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353"/>
        </w:trPr>
        <w:tc>
          <w:tcPr>
            <w:tcW w:w="1980" w:type="dxa"/>
            <w:vAlign w:val="bottom"/>
          </w:tcPr>
          <w:p>
            <w:pPr>
              <w:ind w:left="20"/>
              <w:spacing w:after="0"/>
              <w:rPr>
                <w:sz w:val="20"/>
                <w:szCs w:val="20"/>
                <w:color w:val="auto"/>
              </w:rPr>
            </w:pPr>
            <w:r>
              <w:rPr>
                <w:rFonts w:ascii="Arial" w:cs="Arial" w:eastAsia="Arial" w:hAnsi="Arial"/>
                <w:sz w:val="13"/>
                <w:szCs w:val="13"/>
                <w:b w:val="1"/>
                <w:bCs w:val="1"/>
                <w:color w:val="auto"/>
              </w:rPr>
              <w:t>Commission</w:t>
            </w:r>
          </w:p>
        </w:tc>
        <w:tc>
          <w:tcPr>
            <w:tcW w:w="120" w:type="dxa"/>
            <w:vAlign w:val="bottom"/>
          </w:tcPr>
          <w:p>
            <w:pPr>
              <w:spacing w:after="0"/>
              <w:rPr>
                <w:sz w:val="24"/>
                <w:szCs w:val="24"/>
                <w:color w:val="auto"/>
              </w:rPr>
            </w:pPr>
          </w:p>
        </w:tc>
        <w:tc>
          <w:tcPr>
            <w:tcW w:w="7040" w:type="dxa"/>
            <w:vAlign w:val="bottom"/>
          </w:tcPr>
          <w:p>
            <w:pPr>
              <w:ind w:left="20"/>
              <w:spacing w:after="0"/>
              <w:rPr>
                <w:sz w:val="20"/>
                <w:szCs w:val="20"/>
                <w:color w:val="auto"/>
              </w:rPr>
            </w:pPr>
            <w:r>
              <w:rPr>
                <w:rFonts w:ascii="Arial" w:cs="Arial" w:eastAsia="Arial" w:hAnsi="Arial"/>
                <w:sz w:val="13"/>
                <w:szCs w:val="13"/>
                <w:b w:val="1"/>
                <w:bCs w:val="1"/>
                <w:color w:val="auto"/>
              </w:rPr>
              <w:t>Name of Registrant; State or Other Jurisdiction of Incorporation; Address of Principal Executive Offices; and</w:t>
            </w:r>
          </w:p>
        </w:tc>
        <w:tc>
          <w:tcPr>
            <w:tcW w:w="120" w:type="dxa"/>
            <w:vAlign w:val="bottom"/>
          </w:tcPr>
          <w:p>
            <w:pPr>
              <w:spacing w:after="0"/>
              <w:rPr>
                <w:sz w:val="24"/>
                <w:szCs w:val="24"/>
                <w:color w:val="auto"/>
              </w:rPr>
            </w:pPr>
          </w:p>
        </w:tc>
        <w:tc>
          <w:tcPr>
            <w:tcW w:w="1980" w:type="dxa"/>
            <w:vAlign w:val="bottom"/>
          </w:tcPr>
          <w:p>
            <w:pPr>
              <w:ind w:left="20"/>
              <w:spacing w:after="0"/>
              <w:rPr>
                <w:sz w:val="20"/>
                <w:szCs w:val="20"/>
                <w:color w:val="auto"/>
              </w:rPr>
            </w:pPr>
            <w:r>
              <w:rPr>
                <w:rFonts w:ascii="Arial" w:cs="Arial" w:eastAsia="Arial" w:hAnsi="Arial"/>
                <w:sz w:val="13"/>
                <w:szCs w:val="13"/>
                <w:b w:val="1"/>
                <w:bCs w:val="1"/>
                <w:color w:val="auto"/>
              </w:rPr>
              <w:t>IRS Employer Identification</w:t>
            </w:r>
          </w:p>
        </w:tc>
      </w:tr>
      <w:tr>
        <w:trPr>
          <w:trHeight w:val="18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File Number</w:t>
            </w:r>
          </w:p>
        </w:tc>
        <w:tc>
          <w:tcPr>
            <w:tcW w:w="120" w:type="dxa"/>
            <w:vAlign w:val="bottom"/>
          </w:tcPr>
          <w:p>
            <w:pPr>
              <w:spacing w:after="0"/>
              <w:rPr>
                <w:sz w:val="16"/>
                <w:szCs w:val="16"/>
                <w:color w:val="auto"/>
              </w:rPr>
            </w:pPr>
          </w:p>
        </w:tc>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Telephone Number</w:t>
            </w:r>
          </w:p>
        </w:tc>
        <w:tc>
          <w:tcPr>
            <w:tcW w:w="120" w:type="dxa"/>
            <w:vAlign w:val="bottom"/>
          </w:tcPr>
          <w:p>
            <w:pPr>
              <w:spacing w:after="0"/>
              <w:rPr>
                <w:sz w:val="16"/>
                <w:szCs w:val="16"/>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Number</w:t>
            </w:r>
          </w:p>
        </w:tc>
      </w:tr>
      <w:tr>
        <w:trPr>
          <w:trHeight w:val="258"/>
        </w:trPr>
        <w:tc>
          <w:tcPr>
            <w:tcW w:w="1980" w:type="dxa"/>
            <w:vAlign w:val="bottom"/>
          </w:tcPr>
          <w:p>
            <w:pPr>
              <w:ind w:left="20"/>
              <w:spacing w:after="0"/>
              <w:rPr>
                <w:sz w:val="20"/>
                <w:szCs w:val="20"/>
                <w:color w:val="auto"/>
              </w:rPr>
            </w:pPr>
            <w:r>
              <w:rPr>
                <w:rFonts w:ascii="Arial" w:cs="Arial" w:eastAsia="Arial" w:hAnsi="Arial"/>
                <w:sz w:val="16"/>
                <w:szCs w:val="16"/>
                <w:color w:val="auto"/>
              </w:rPr>
              <w:t>001-41137</w:t>
            </w:r>
          </w:p>
        </w:tc>
        <w:tc>
          <w:tcPr>
            <w:tcW w:w="1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6"/>
                <w:szCs w:val="16"/>
                <w:color w:val="auto"/>
              </w:rPr>
              <w:t>CONSTELLATION ENERGY CORPORATION</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87-1210716</w:t>
            </w:r>
          </w:p>
        </w:tc>
      </w:tr>
      <w:tr>
        <w:trPr>
          <w:trHeight w:val="154"/>
        </w:trPr>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40" w:type="dxa"/>
            <w:vAlign w:val="bottom"/>
          </w:tcPr>
          <w:p>
            <w:pPr>
              <w:ind w:left="20"/>
              <w:spacing w:after="0" w:line="155" w:lineRule="exact"/>
              <w:rPr>
                <w:sz w:val="20"/>
                <w:szCs w:val="20"/>
                <w:color w:val="auto"/>
              </w:rPr>
            </w:pPr>
            <w:r>
              <w:rPr>
                <w:rFonts w:ascii="Arial" w:cs="Arial" w:eastAsia="Arial" w:hAnsi="Arial"/>
                <w:sz w:val="14"/>
                <w:szCs w:val="14"/>
                <w:color w:val="auto"/>
              </w:rPr>
              <w:t>(a Pennsylvania corporation)</w:t>
            </w: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43"/>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40" w:type="dxa"/>
            <w:vAlign w:val="bottom"/>
          </w:tcPr>
          <w:p>
            <w:pPr>
              <w:ind w:left="20"/>
              <w:spacing w:after="0" w:line="143" w:lineRule="exact"/>
              <w:rPr>
                <w:sz w:val="20"/>
                <w:szCs w:val="20"/>
                <w:color w:val="auto"/>
              </w:rPr>
            </w:pPr>
            <w:r>
              <w:rPr>
                <w:rFonts w:ascii="Arial" w:cs="Arial" w:eastAsia="Arial" w:hAnsi="Arial"/>
                <w:sz w:val="14"/>
                <w:szCs w:val="14"/>
                <w:color w:val="auto"/>
              </w:rPr>
              <w:t>1310 Point Street</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8"/>
        </w:trPr>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40" w:type="dxa"/>
            <w:vAlign w:val="bottom"/>
          </w:tcPr>
          <w:p>
            <w:pPr>
              <w:ind w:left="20"/>
              <w:spacing w:after="0" w:line="149" w:lineRule="exact"/>
              <w:rPr>
                <w:sz w:val="20"/>
                <w:szCs w:val="20"/>
                <w:color w:val="auto"/>
              </w:rPr>
            </w:pPr>
            <w:r>
              <w:rPr>
                <w:rFonts w:ascii="Arial" w:cs="Arial" w:eastAsia="Arial" w:hAnsi="Arial"/>
                <w:sz w:val="14"/>
                <w:szCs w:val="14"/>
                <w:color w:val="auto"/>
              </w:rPr>
              <w:t>Baltimore, Maryland 21231-3380</w:t>
            </w: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82"/>
        </w:trPr>
        <w:tc>
          <w:tcPr>
            <w:tcW w:w="1980" w:type="dxa"/>
            <w:vAlign w:val="bottom"/>
          </w:tcPr>
          <w:p>
            <w:pPr>
              <w:spacing w:after="0"/>
              <w:rPr>
                <w:sz w:val="15"/>
                <w:szCs w:val="15"/>
                <w:color w:val="auto"/>
              </w:rPr>
            </w:pPr>
          </w:p>
        </w:tc>
        <w:tc>
          <w:tcPr>
            <w:tcW w:w="7160" w:type="dxa"/>
            <w:vAlign w:val="bottom"/>
            <w:gridSpan w:val="2"/>
          </w:tcPr>
          <w:p>
            <w:pPr>
              <w:ind w:left="140"/>
              <w:spacing w:after="0"/>
              <w:rPr>
                <w:sz w:val="20"/>
                <w:szCs w:val="20"/>
                <w:color w:val="auto"/>
              </w:rPr>
            </w:pPr>
            <w:r>
              <w:rPr>
                <w:rFonts w:ascii="Arial" w:cs="Arial" w:eastAsia="Arial" w:hAnsi="Arial"/>
                <w:sz w:val="14"/>
                <w:szCs w:val="14"/>
                <w:color w:val="auto"/>
              </w:rPr>
              <w:t>(833) 883-0162</w:t>
            </w: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63"/>
        </w:trPr>
        <w:tc>
          <w:tcPr>
            <w:tcW w:w="1980" w:type="dxa"/>
            <w:vAlign w:val="bottom"/>
          </w:tcPr>
          <w:p>
            <w:pPr>
              <w:ind w:left="20"/>
              <w:spacing w:after="0"/>
              <w:rPr>
                <w:sz w:val="20"/>
                <w:szCs w:val="20"/>
                <w:color w:val="auto"/>
              </w:rPr>
            </w:pPr>
            <w:r>
              <w:rPr>
                <w:rFonts w:ascii="Arial" w:cs="Arial" w:eastAsia="Arial" w:hAnsi="Arial"/>
                <w:sz w:val="16"/>
                <w:szCs w:val="16"/>
                <w:color w:val="auto"/>
              </w:rPr>
              <w:t>333-85496</w:t>
            </w:r>
          </w:p>
        </w:tc>
        <w:tc>
          <w:tcPr>
            <w:tcW w:w="12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6"/>
                <w:szCs w:val="16"/>
                <w:color w:val="auto"/>
              </w:rPr>
              <w:t>CONSTELLATION ENERGY GENERATION, LLC</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23-3064219</w:t>
            </w:r>
          </w:p>
        </w:tc>
      </w:tr>
      <w:tr>
        <w:trPr>
          <w:trHeight w:val="163"/>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40" w:type="dxa"/>
            <w:vAlign w:val="bottom"/>
          </w:tcPr>
          <w:p>
            <w:pPr>
              <w:ind w:left="20"/>
              <w:spacing w:after="0"/>
              <w:rPr>
                <w:sz w:val="20"/>
                <w:szCs w:val="20"/>
                <w:color w:val="auto"/>
              </w:rPr>
            </w:pPr>
            <w:r>
              <w:rPr>
                <w:rFonts w:ascii="Arial" w:cs="Arial" w:eastAsia="Arial" w:hAnsi="Arial"/>
                <w:sz w:val="14"/>
                <w:szCs w:val="14"/>
                <w:color w:val="auto"/>
              </w:rPr>
              <w:t>(a Pennsylvania limited liability company)</w:t>
            </w:r>
          </w:p>
        </w:tc>
        <w:tc>
          <w:tcPr>
            <w:tcW w:w="1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8"/>
        </w:trPr>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40" w:type="dxa"/>
            <w:vAlign w:val="bottom"/>
          </w:tcPr>
          <w:p>
            <w:pPr>
              <w:ind w:left="20"/>
              <w:spacing w:after="0" w:line="159" w:lineRule="exact"/>
              <w:rPr>
                <w:sz w:val="20"/>
                <w:szCs w:val="20"/>
                <w:color w:val="auto"/>
              </w:rPr>
            </w:pPr>
            <w:r>
              <w:rPr>
                <w:rFonts w:ascii="Arial" w:cs="Arial" w:eastAsia="Arial" w:hAnsi="Arial"/>
                <w:sz w:val="14"/>
                <w:szCs w:val="14"/>
                <w:color w:val="auto"/>
              </w:rPr>
              <w:t>200 Exelon Way</w:t>
            </w: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r>
    </w:tbl>
    <w:p>
      <w:pPr>
        <w:ind w:left="2120"/>
        <w:spacing w:after="0" w:line="201" w:lineRule="auto"/>
        <w:rPr>
          <w:sz w:val="20"/>
          <w:szCs w:val="20"/>
          <w:color w:val="auto"/>
        </w:rPr>
      </w:pPr>
      <w:r>
        <w:rPr>
          <w:rFonts w:ascii="Arial" w:cs="Arial" w:eastAsia="Arial" w:hAnsi="Arial"/>
          <w:sz w:val="14"/>
          <w:szCs w:val="14"/>
          <w:color w:val="auto"/>
        </w:rPr>
        <w:t>Kennett Square, Pennsylvania 19348-2473</w:t>
      </w:r>
    </w:p>
    <w:p>
      <w:pPr>
        <w:ind w:left="2120"/>
        <w:spacing w:after="0"/>
        <w:rPr>
          <w:sz w:val="20"/>
          <w:szCs w:val="20"/>
          <w:color w:val="auto"/>
        </w:rPr>
      </w:pPr>
      <w:r>
        <w:rPr>
          <w:rFonts w:ascii="Arial" w:cs="Arial" w:eastAsia="Arial" w:hAnsi="Arial"/>
          <w:sz w:val="14"/>
          <w:szCs w:val="14"/>
          <w:color w:val="auto"/>
        </w:rPr>
        <w:t>(833) 883-0162</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Borders>
              <w:bottom w:val="single" w:sz="8" w:color="auto"/>
            </w:tcBorders>
          </w:tcPr>
          <w:p>
            <w:pPr>
              <w:ind w:left="1800"/>
              <w:spacing w:after="0"/>
              <w:rPr>
                <w:sz w:val="20"/>
                <w:szCs w:val="20"/>
                <w:color w:val="auto"/>
              </w:rPr>
            </w:pPr>
            <w:r>
              <w:rPr>
                <w:rFonts w:ascii="Arial" w:cs="Arial" w:eastAsia="Arial" w:hAnsi="Arial"/>
                <w:sz w:val="13"/>
                <w:szCs w:val="13"/>
                <w:b w:val="1"/>
                <w:bCs w:val="1"/>
                <w:color w:val="auto"/>
              </w:rPr>
              <w:t>Title of each class</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Trading Symbol(s)</w:t>
            </w:r>
          </w:p>
        </w:tc>
        <w:tc>
          <w:tcPr>
            <w:tcW w:w="120" w:type="dxa"/>
            <w:vAlign w:val="bottom"/>
          </w:tcPr>
          <w:p>
            <w:pPr>
              <w:spacing w:after="0"/>
              <w:rPr>
                <w:sz w:val="16"/>
                <w:szCs w:val="16"/>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CONSTELLATION ENERGY CORPORATION:</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182"/>
        </w:trPr>
        <w:tc>
          <w:tcPr>
            <w:tcW w:w="4760" w:type="dxa"/>
            <w:vAlign w:val="bottom"/>
          </w:tcPr>
          <w:p>
            <w:pPr>
              <w:ind w:left="20"/>
              <w:spacing w:after="0"/>
              <w:rPr>
                <w:sz w:val="20"/>
                <w:szCs w:val="20"/>
                <w:color w:val="auto"/>
              </w:rPr>
            </w:pPr>
            <w:r>
              <w:rPr>
                <w:rFonts w:ascii="Arial" w:cs="Arial" w:eastAsia="Arial" w:hAnsi="Arial"/>
                <w:sz w:val="14"/>
                <w:szCs w:val="14"/>
                <w:color w:val="auto"/>
              </w:rPr>
              <w:t>Common Stock, without par value</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CEG</w:t>
            </w:r>
          </w:p>
        </w:tc>
        <w:tc>
          <w:tcPr>
            <w:tcW w:w="12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63"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873" w:right="339" w:bottom="1440" w:gutter="0" w:footer="0" w:header="0"/>
        </w:sectPr>
      </w:pPr>
    </w:p>
    <w:p>
      <w:pPr>
        <w:spacing w:after="0" w:line="174" w:lineRule="exact"/>
        <w:rPr>
          <w:sz w:val="24"/>
          <w:szCs w:val="24"/>
          <w:color w:val="auto"/>
        </w:rPr>
      </w:pPr>
    </w:p>
    <w:p>
      <w:pPr>
        <w:ind w:left="20"/>
        <w:spacing w:after="0"/>
        <w:rPr>
          <w:sz w:val="20"/>
          <w:szCs w:val="20"/>
          <w:color w:val="auto"/>
        </w:rPr>
      </w:pPr>
      <w:r>
        <w:rPr>
          <w:rFonts w:ascii="Arial" w:cs="Arial" w:eastAsia="Arial" w:hAnsi="Arial"/>
          <w:sz w:val="14"/>
          <w:szCs w:val="14"/>
          <w:color w:val="auto"/>
        </w:rPr>
        <w:t>Constellation Energy Corporation</w:t>
      </w:r>
    </w:p>
    <w:p>
      <w:pPr>
        <w:spacing w:after="0" w:line="42" w:lineRule="exact"/>
        <w:rPr>
          <w:sz w:val="24"/>
          <w:szCs w:val="24"/>
          <w:color w:val="auto"/>
        </w:rPr>
      </w:pPr>
    </w:p>
    <w:p>
      <w:pPr>
        <w:ind w:left="20"/>
        <w:spacing w:after="0"/>
        <w:rPr>
          <w:sz w:val="20"/>
          <w:szCs w:val="20"/>
          <w:color w:val="auto"/>
        </w:rPr>
      </w:pPr>
      <w:r>
        <w:rPr>
          <w:rFonts w:ascii="Arial" w:cs="Arial" w:eastAsia="Arial" w:hAnsi="Arial"/>
          <w:sz w:val="14"/>
          <w:szCs w:val="14"/>
          <w:color w:val="auto"/>
        </w:rPr>
        <w:t>Constellation Energy Generation, LLC</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5"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7" w:lineRule="exact"/>
        <w:rPr>
          <w:sz w:val="24"/>
          <w:szCs w:val="24"/>
          <w:color w:val="auto"/>
        </w:rPr>
      </w:pPr>
    </w:p>
    <w:p>
      <w:pPr>
        <w:sectPr>
          <w:pgSz w:w="11900" w:h="16838" w:orient="portrait"/>
          <w:cols w:equalWidth="0" w:num="5">
            <w:col w:w="8840" w:space="720"/>
            <w:col w:w="240" w:space="140"/>
            <w:col w:w="60" w:space="660"/>
            <w:col w:w="180" w:space="120"/>
            <w:col w:w="280"/>
          </w:cols>
          <w:pgMar w:left="320" w:top="873" w:right="339" w:bottom="1440" w:gutter="0" w:footer="0" w:header="0"/>
          <w:type w:val="continuous"/>
        </w:sectPr>
      </w:pPr>
    </w:p>
    <w:p>
      <w:pPr>
        <w:spacing w:after="0" w:line="71" w:lineRule="exact"/>
        <w:rPr>
          <w:sz w:val="24"/>
          <w:szCs w:val="24"/>
          <w:color w:val="auto"/>
        </w:rPr>
      </w:pPr>
    </w:p>
    <w:p>
      <w:pPr>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Constellation Energy</w:t>
            </w:r>
          </w:p>
        </w:tc>
        <w:tc>
          <w:tcPr>
            <w:tcW w:w="2240" w:type="dxa"/>
            <w:vAlign w:val="bottom"/>
            <w:vMerge w:val="restart"/>
          </w:tcPr>
          <w:p>
            <w:pPr>
              <w:ind w:left="340"/>
              <w:spacing w:after="0"/>
              <w:rPr>
                <w:sz w:val="20"/>
                <w:szCs w:val="20"/>
                <w:color w:val="auto"/>
              </w:rPr>
            </w:pPr>
            <w:r>
              <w:rPr>
                <w:rFonts w:ascii="Arial" w:cs="Arial" w:eastAsia="Arial" w:hAnsi="Arial"/>
                <w:sz w:val="13"/>
                <w:szCs w:val="13"/>
                <w:color w:val="auto"/>
              </w:rPr>
              <w:t xml:space="preserve">Large Accelerated Filer </w:t>
            </w:r>
            <w:r>
              <w:rPr>
                <w:rFonts w:ascii="Arial" w:cs="Arial" w:eastAsia="Arial" w:hAnsi="Arial"/>
                <w:sz w:val="14"/>
                <w:szCs w:val="14"/>
                <w:color w:val="auto"/>
              </w:rPr>
              <w:t>x</w:t>
            </w:r>
          </w:p>
        </w:tc>
        <w:tc>
          <w:tcPr>
            <w:tcW w:w="1380" w:type="dxa"/>
            <w:vAlign w:val="bottom"/>
          </w:tcPr>
          <w:p>
            <w:pPr>
              <w:spacing w:after="0"/>
              <w:rPr>
                <w:sz w:val="14"/>
                <w:szCs w:val="14"/>
                <w:color w:val="auto"/>
              </w:rPr>
            </w:pPr>
          </w:p>
        </w:tc>
        <w:tc>
          <w:tcPr>
            <w:tcW w:w="42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vMerge w:val="restart"/>
          </w:tcPr>
          <w:p>
            <w:pPr>
              <w:ind w:left="280"/>
              <w:spacing w:after="0" w:line="161"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Smaller Reporting</w:t>
            </w:r>
          </w:p>
        </w:tc>
        <w:tc>
          <w:tcPr>
            <w:tcW w:w="4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Emerging Growth</w:t>
            </w:r>
          </w:p>
        </w:tc>
        <w:tc>
          <w:tcPr>
            <w:tcW w:w="1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8"/>
        </w:trPr>
        <w:tc>
          <w:tcPr>
            <w:tcW w:w="1660" w:type="dxa"/>
            <w:vAlign w:val="bottom"/>
          </w:tcPr>
          <w:p>
            <w:pPr>
              <w:spacing w:after="0"/>
              <w:rPr>
                <w:sz w:val="20"/>
                <w:szCs w:val="20"/>
                <w:color w:val="auto"/>
              </w:rPr>
            </w:pPr>
            <w:r>
              <w:rPr>
                <w:rFonts w:ascii="Arial" w:cs="Arial" w:eastAsia="Arial" w:hAnsi="Arial"/>
                <w:sz w:val="14"/>
                <w:szCs w:val="14"/>
                <w:color w:val="auto"/>
              </w:rPr>
              <w:t>Corporation</w:t>
            </w:r>
          </w:p>
        </w:tc>
        <w:tc>
          <w:tcPr>
            <w:tcW w:w="2240" w:type="dxa"/>
            <w:vAlign w:val="bottom"/>
            <w:vMerge w:val="continue"/>
          </w:tcPr>
          <w:p>
            <w:pPr>
              <w:spacing w:after="0"/>
              <w:rPr>
                <w:sz w:val="16"/>
                <w:szCs w:val="16"/>
                <w:color w:val="auto"/>
              </w:rPr>
            </w:pPr>
          </w:p>
        </w:tc>
        <w:tc>
          <w:tcPr>
            <w:tcW w:w="1380" w:type="dxa"/>
            <w:vAlign w:val="bottom"/>
          </w:tcPr>
          <w:p>
            <w:pPr>
              <w:ind w:left="320"/>
              <w:spacing w:after="0"/>
              <w:rPr>
                <w:sz w:val="20"/>
                <w:szCs w:val="20"/>
                <w:color w:val="auto"/>
              </w:rPr>
            </w:pPr>
            <w:r>
              <w:rPr>
                <w:rFonts w:ascii="Arial" w:cs="Arial" w:eastAsia="Arial" w:hAnsi="Arial"/>
                <w:sz w:val="13"/>
                <w:szCs w:val="13"/>
                <w:color w:val="auto"/>
              </w:rPr>
              <w:t>Accelerated Filer</w:t>
            </w:r>
          </w:p>
        </w:tc>
        <w:tc>
          <w:tcPr>
            <w:tcW w:w="42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Company</w:t>
            </w:r>
          </w:p>
        </w:tc>
        <w:tc>
          <w:tcPr>
            <w:tcW w:w="44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Company</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rPr>
                <w:sz w:val="20"/>
                <w:szCs w:val="20"/>
                <w:color w:val="auto"/>
              </w:rPr>
            </w:pPr>
            <w:r>
              <w:rPr>
                <w:rFonts w:ascii="Arial" w:cs="Arial" w:eastAsia="Arial" w:hAnsi="Arial"/>
                <w:sz w:val="14"/>
                <w:szCs w:val="14"/>
                <w:color w:val="auto"/>
              </w:rPr>
              <w:t>Constellation Energy</w:t>
            </w:r>
          </w:p>
        </w:tc>
        <w:tc>
          <w:tcPr>
            <w:tcW w:w="2240" w:type="dxa"/>
            <w:vAlign w:val="bottom"/>
            <w:vMerge w:val="restart"/>
          </w:tcPr>
          <w:p>
            <w:pPr>
              <w:ind w:left="340"/>
              <w:spacing w:after="0" w:line="161"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4"/>
                <w:szCs w:val="14"/>
                <w:color w:val="auto"/>
              </w:rPr>
              <w:t>☐</w:t>
            </w:r>
          </w:p>
        </w:tc>
        <w:tc>
          <w:tcPr>
            <w:tcW w:w="1380" w:type="dxa"/>
            <w:vAlign w:val="bottom"/>
            <w:vMerge w:val="restart"/>
          </w:tcPr>
          <w:p>
            <w:pPr>
              <w:ind w:left="320"/>
              <w:spacing w:after="0"/>
              <w:rPr>
                <w:sz w:val="20"/>
                <w:szCs w:val="20"/>
                <w:color w:val="auto"/>
              </w:rPr>
            </w:pPr>
            <w:r>
              <w:rPr>
                <w:rFonts w:ascii="Arial" w:cs="Arial" w:eastAsia="Arial" w:hAnsi="Arial"/>
                <w:sz w:val="13"/>
                <w:szCs w:val="13"/>
                <w:color w:val="auto"/>
              </w:rPr>
              <w:t>Accelerated Filer</w:t>
            </w:r>
          </w:p>
        </w:tc>
        <w:tc>
          <w:tcPr>
            <w:tcW w:w="42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040" w:type="dxa"/>
            <w:vAlign w:val="bottom"/>
            <w:vMerge w:val="restart"/>
          </w:tcPr>
          <w:p>
            <w:pPr>
              <w:ind w:left="280"/>
              <w:spacing w:after="0"/>
              <w:rPr>
                <w:sz w:val="20"/>
                <w:szCs w:val="20"/>
                <w:color w:val="auto"/>
              </w:rPr>
            </w:pPr>
            <w:r>
              <w:rPr>
                <w:rFonts w:ascii="Arial" w:cs="Arial" w:eastAsia="Arial" w:hAnsi="Arial"/>
                <w:sz w:val="13"/>
                <w:szCs w:val="13"/>
                <w:color w:val="auto"/>
              </w:rPr>
              <w:t xml:space="preserve">Non-accelerated Filer </w:t>
            </w:r>
            <w:r>
              <w:rPr>
                <w:rFonts w:ascii="Arial" w:cs="Arial" w:eastAsia="Arial" w:hAnsi="Arial"/>
                <w:sz w:val="14"/>
                <w:szCs w:val="14"/>
                <w:color w:val="auto"/>
              </w:rPr>
              <w:t>x</w:t>
            </w:r>
          </w:p>
        </w:tc>
        <w:tc>
          <w:tcPr>
            <w:tcW w:w="1380" w:type="dxa"/>
            <w:vAlign w:val="bottom"/>
          </w:tcPr>
          <w:p>
            <w:pPr>
              <w:jc w:val="right"/>
              <w:spacing w:after="0"/>
              <w:rPr>
                <w:sz w:val="20"/>
                <w:szCs w:val="20"/>
                <w:color w:val="auto"/>
              </w:rPr>
            </w:pPr>
            <w:r>
              <w:rPr>
                <w:rFonts w:ascii="Arial" w:cs="Arial" w:eastAsia="Arial" w:hAnsi="Arial"/>
                <w:sz w:val="13"/>
                <w:szCs w:val="13"/>
                <w:color w:val="auto"/>
              </w:rPr>
              <w:t>Smaller Reporting</w:t>
            </w:r>
          </w:p>
        </w:tc>
        <w:tc>
          <w:tcPr>
            <w:tcW w:w="4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Emerging Growth</w:t>
            </w:r>
          </w:p>
        </w:tc>
        <w:tc>
          <w:tcPr>
            <w:tcW w:w="1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7"/>
        </w:trPr>
        <w:tc>
          <w:tcPr>
            <w:tcW w:w="1660" w:type="dxa"/>
            <w:vAlign w:val="bottom"/>
          </w:tcPr>
          <w:p>
            <w:pPr>
              <w:spacing w:after="0"/>
              <w:rPr>
                <w:sz w:val="20"/>
                <w:szCs w:val="20"/>
                <w:color w:val="auto"/>
              </w:rPr>
            </w:pPr>
            <w:r>
              <w:rPr>
                <w:rFonts w:ascii="Arial" w:cs="Arial" w:eastAsia="Arial" w:hAnsi="Arial"/>
                <w:sz w:val="14"/>
                <w:szCs w:val="14"/>
                <w:color w:val="auto"/>
              </w:rPr>
              <w:t>Generation, LLC</w:t>
            </w:r>
          </w:p>
        </w:tc>
        <w:tc>
          <w:tcPr>
            <w:tcW w:w="22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Company</w:t>
            </w:r>
          </w:p>
        </w:tc>
        <w:tc>
          <w:tcPr>
            <w:tcW w:w="44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Company</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6860" w:type="dxa"/>
            <w:vAlign w:val="bottom"/>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w:t>
            </w:r>
          </w:p>
        </w:tc>
        <w:tc>
          <w:tcPr>
            <w:tcW w:w="438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tc>
      </w:tr>
      <w:tr>
        <w:trPr>
          <w:trHeight w:val="327"/>
        </w:trPr>
        <w:tc>
          <w:tcPr>
            <w:tcW w:w="6860" w:type="dxa"/>
            <w:vAlign w:val="bottom"/>
          </w:tcPr>
          <w:p>
            <w:pPr>
              <w:spacing w:after="0"/>
              <w:rPr>
                <w:sz w:val="20"/>
                <w:szCs w:val="20"/>
                <w:color w:val="auto"/>
              </w:rPr>
            </w:pPr>
            <w:r>
              <w:rPr>
                <w:rFonts w:ascii="Arial" w:cs="Arial" w:eastAsia="Arial" w:hAnsi="Arial"/>
                <w:sz w:val="14"/>
                <w:szCs w:val="14"/>
                <w:color w:val="auto"/>
              </w:rPr>
              <w:t>The number of shares outstanding of each registrant’s common stock as of July 31, 2023 was as follows:</w:t>
            </w:r>
          </w:p>
        </w:tc>
        <w:tc>
          <w:tcPr>
            <w:tcW w:w="4380" w:type="dxa"/>
            <w:vAlign w:val="bottom"/>
          </w:tcPr>
          <w:p>
            <w:pPr>
              <w:spacing w:after="0"/>
              <w:rPr>
                <w:sz w:val="24"/>
                <w:szCs w:val="24"/>
                <w:color w:val="auto"/>
              </w:rPr>
            </w:pPr>
          </w:p>
        </w:tc>
      </w:tr>
      <w:tr>
        <w:trPr>
          <w:trHeight w:val="459"/>
        </w:trPr>
        <w:tc>
          <w:tcPr>
            <w:tcW w:w="6860" w:type="dxa"/>
            <w:vAlign w:val="bottom"/>
          </w:tcPr>
          <w:p>
            <w:pPr>
              <w:ind w:left="20"/>
              <w:spacing w:after="0"/>
              <w:rPr>
                <w:sz w:val="20"/>
                <w:szCs w:val="20"/>
                <w:color w:val="auto"/>
              </w:rPr>
            </w:pPr>
            <w:r>
              <w:rPr>
                <w:rFonts w:ascii="Arial" w:cs="Arial" w:eastAsia="Arial" w:hAnsi="Arial"/>
                <w:sz w:val="14"/>
                <w:szCs w:val="14"/>
                <w:color w:val="auto"/>
              </w:rPr>
              <w:t>Constellation Energy Corporation Common Stock, without par value</w:t>
            </w:r>
          </w:p>
        </w:tc>
        <w:tc>
          <w:tcPr>
            <w:tcW w:w="4380" w:type="dxa"/>
            <w:vAlign w:val="bottom"/>
          </w:tcPr>
          <w:p>
            <w:pPr>
              <w:jc w:val="right"/>
              <w:spacing w:after="0"/>
              <w:rPr>
                <w:sz w:val="20"/>
                <w:szCs w:val="20"/>
                <w:color w:val="auto"/>
              </w:rPr>
            </w:pPr>
            <w:r>
              <w:rPr>
                <w:rFonts w:ascii="Arial" w:cs="Arial" w:eastAsia="Arial" w:hAnsi="Arial"/>
                <w:sz w:val="14"/>
                <w:szCs w:val="14"/>
                <w:color w:val="auto"/>
              </w:rPr>
              <w:t>321,591,672</w:t>
            </w:r>
          </w:p>
        </w:tc>
      </w:tr>
      <w:tr>
        <w:trPr>
          <w:trHeight w:val="203"/>
        </w:trPr>
        <w:tc>
          <w:tcPr>
            <w:tcW w:w="6860" w:type="dxa"/>
            <w:vAlign w:val="bottom"/>
          </w:tcPr>
          <w:p>
            <w:pPr>
              <w:ind w:left="20"/>
              <w:spacing w:after="0"/>
              <w:rPr>
                <w:sz w:val="20"/>
                <w:szCs w:val="20"/>
                <w:color w:val="auto"/>
              </w:rPr>
            </w:pPr>
            <w:r>
              <w:rPr>
                <w:rFonts w:ascii="Arial" w:cs="Arial" w:eastAsia="Arial" w:hAnsi="Arial"/>
                <w:sz w:val="14"/>
                <w:szCs w:val="14"/>
                <w:color w:val="auto"/>
              </w:rPr>
              <w:t>Constellation Energy Generation, LLC</w:t>
            </w:r>
          </w:p>
        </w:tc>
        <w:tc>
          <w:tcPr>
            <w:tcW w:w="4380" w:type="dxa"/>
            <w:vAlign w:val="bottom"/>
          </w:tcPr>
          <w:p>
            <w:pPr>
              <w:jc w:val="center"/>
              <w:ind w:left="3368"/>
              <w:spacing w:after="0"/>
              <w:rPr>
                <w:sz w:val="20"/>
                <w:szCs w:val="20"/>
                <w:color w:val="auto"/>
              </w:rPr>
            </w:pPr>
            <w:r>
              <w:rPr>
                <w:rFonts w:ascii="Arial" w:cs="Arial" w:eastAsia="Arial" w:hAnsi="Arial"/>
                <w:sz w:val="14"/>
                <w:szCs w:val="14"/>
                <w:color w:val="auto"/>
              </w:rPr>
              <w:t>Not applicable</w:t>
            </w:r>
          </w:p>
        </w:tc>
      </w:tr>
      <w:tr>
        <w:trPr>
          <w:trHeight w:val="1909"/>
        </w:trPr>
        <w:tc>
          <w:tcPr>
            <w:tcW w:w="68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40" w:type="dxa"/>
            <w:vAlign w:val="bottom"/>
            <w:gridSpan w:val="8"/>
          </w:tcPr>
          <w:p>
            <w:pPr>
              <w:spacing w:after="0"/>
              <w:rPr>
                <w:sz w:val="20"/>
                <w:szCs w:val="20"/>
                <w:color w:val="auto"/>
              </w:rPr>
            </w:pPr>
            <w:r>
              <w:rPr>
                <w:rFonts w:ascii="Arial" w:cs="Arial" w:eastAsia="Arial" w:hAnsi="Arial"/>
                <w:sz w:val="16"/>
                <w:szCs w:val="16"/>
                <w:b w:val="1"/>
                <w:bCs w:val="1"/>
                <w:color w:val="auto"/>
                <w:w w:val="99"/>
              </w:rPr>
              <w:t>TABLE OF CONTENTS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Page No.</w:t>
            </w:r>
          </w:p>
        </w:tc>
      </w:tr>
      <w:tr>
        <w:trPr>
          <w:trHeight w:val="169"/>
        </w:trPr>
        <w:tc>
          <w:tcPr>
            <w:tcW w:w="20" w:type="dxa"/>
            <w:vAlign w:val="bottom"/>
          </w:tcPr>
          <w:p>
            <w:pPr>
              <w:spacing w:after="0"/>
              <w:rPr>
                <w:sz w:val="14"/>
                <w:szCs w:val="14"/>
                <w:color w:val="auto"/>
              </w:rPr>
            </w:pPr>
          </w:p>
        </w:tc>
        <w:tc>
          <w:tcPr>
            <w:tcW w:w="9960" w:type="dxa"/>
            <w:vAlign w:val="bottom"/>
            <w:gridSpan w:val="38"/>
          </w:tcPr>
          <w:p>
            <w:pPr>
              <w:spacing w:after="0" w:line="169" w:lineRule="exact"/>
              <w:rPr>
                <w:sz w:val="20"/>
                <w:szCs w:val="20"/>
                <w:color w:val="auto"/>
              </w:rPr>
            </w:pPr>
            <w:r>
              <w:rPr>
                <w:rFonts w:ascii="Arial" w:cs="Arial" w:eastAsia="Arial" w:hAnsi="Arial"/>
                <w:sz w:val="16"/>
                <w:szCs w:val="16"/>
                <w:b w:val="1"/>
                <w:bCs w:val="1"/>
                <w:color w:val="0000FF"/>
              </w:rPr>
              <w:t>GLOSSARY OF TERMS AND ABBREVIATIONS</w:t>
            </w:r>
          </w:p>
        </w:tc>
        <w:tc>
          <w:tcPr>
            <w:tcW w:w="1240" w:type="dxa"/>
            <w:vAlign w:val="bottom"/>
            <w:gridSpan w:val="3"/>
          </w:tcPr>
          <w:p>
            <w:pPr>
              <w:jc w:val="right"/>
              <w:spacing w:after="0" w:line="169" w:lineRule="exact"/>
              <w:rPr>
                <w:sz w:val="20"/>
                <w:szCs w:val="20"/>
                <w:color w:val="auto"/>
              </w:rPr>
            </w:pPr>
            <w:r>
              <w:rPr>
                <w:rFonts w:ascii="Arial" w:cs="Arial" w:eastAsia="Arial" w:hAnsi="Arial"/>
                <w:sz w:val="16"/>
                <w:szCs w:val="16"/>
                <w:color w:val="0000FF"/>
              </w:rPr>
              <w:t>1</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0000FF"/>
                <w:w w:val="98"/>
              </w:rPr>
              <w:t>FILING FORMAT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34"/>
          </w:tcPr>
          <w:p>
            <w:pPr>
              <w:spacing w:after="0"/>
              <w:rPr>
                <w:sz w:val="20"/>
                <w:szCs w:val="20"/>
                <w:color w:val="auto"/>
              </w:rPr>
            </w:pPr>
            <w:r>
              <w:rPr>
                <w:rFonts w:ascii="Arial" w:cs="Arial" w:eastAsia="Arial" w:hAnsi="Arial"/>
                <w:sz w:val="16"/>
                <w:szCs w:val="16"/>
                <w:b w:val="1"/>
                <w:bCs w:val="1"/>
                <w:color w:val="0000FF"/>
              </w:rPr>
              <w:t>CAUTIONARY STATEMENTS REGARDING FORWARD-LOOKING INFORMATION</w:t>
            </w:r>
          </w:p>
        </w:tc>
        <w:tc>
          <w:tcPr>
            <w:tcW w:w="3860" w:type="dxa"/>
            <w:vAlign w:val="bottom"/>
            <w:gridSpan w:val="4"/>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34"/>
          </w:tcPr>
          <w:p>
            <w:pPr>
              <w:spacing w:after="0"/>
              <w:rPr>
                <w:sz w:val="20"/>
                <w:szCs w:val="20"/>
                <w:color w:val="auto"/>
              </w:rPr>
            </w:pPr>
            <w:r>
              <w:rPr>
                <w:rFonts w:ascii="Arial" w:cs="Arial" w:eastAsia="Arial" w:hAnsi="Arial"/>
                <w:sz w:val="16"/>
                <w:szCs w:val="16"/>
                <w:b w:val="1"/>
                <w:bCs w:val="1"/>
                <w:color w:val="0000FF"/>
              </w:rPr>
              <w:t>WHERE TO FIND MORE INFORMATION</w:t>
            </w:r>
          </w:p>
        </w:tc>
        <w:tc>
          <w:tcPr>
            <w:tcW w:w="3860" w:type="dxa"/>
            <w:vAlign w:val="bottom"/>
            <w:gridSpan w:val="4"/>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0000FF"/>
              </w:rPr>
              <w:t>PART I</w:t>
            </w:r>
          </w:p>
        </w:tc>
        <w:tc>
          <w:tcPr>
            <w:tcW w:w="20" w:type="dxa"/>
            <w:vAlign w:val="bottom"/>
          </w:tcPr>
          <w:p>
            <w:pPr>
              <w:spacing w:after="0"/>
              <w:rPr>
                <w:sz w:val="17"/>
                <w:szCs w:val="17"/>
                <w:color w:val="auto"/>
              </w:rPr>
            </w:pPr>
          </w:p>
        </w:tc>
        <w:tc>
          <w:tcPr>
            <w:tcW w:w="8680" w:type="dxa"/>
            <w:vAlign w:val="bottom"/>
            <w:gridSpan w:val="35"/>
          </w:tcPr>
          <w:p>
            <w:pPr>
              <w:spacing w:after="0"/>
              <w:rPr>
                <w:sz w:val="20"/>
                <w:szCs w:val="20"/>
                <w:color w:val="auto"/>
              </w:rPr>
            </w:pPr>
            <w:r>
              <w:rPr>
                <w:rFonts w:ascii="Arial" w:cs="Arial" w:eastAsia="Arial" w:hAnsi="Arial"/>
                <w:sz w:val="16"/>
                <w:szCs w:val="16"/>
                <w:b w:val="1"/>
                <w:bCs w:val="1"/>
                <w:color w:val="0000FF"/>
              </w:rPr>
              <w:t>FINANCIAL INFORMATION</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6"/>
                <w:szCs w:val="16"/>
                <w:b w:val="1"/>
                <w:bCs w:val="1"/>
                <w:color w:val="0000FF"/>
                <w:w w:val="85"/>
              </w:rPr>
              <w:t>ITEM 1.</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35"/>
          </w:tcPr>
          <w:p>
            <w:pPr>
              <w:spacing w:after="0"/>
              <w:rPr>
                <w:sz w:val="20"/>
                <w:szCs w:val="20"/>
                <w:color w:val="auto"/>
              </w:rPr>
            </w:pPr>
            <w:r>
              <w:rPr>
                <w:rFonts w:ascii="Arial" w:cs="Arial" w:eastAsia="Arial" w:hAnsi="Arial"/>
                <w:sz w:val="16"/>
                <w:szCs w:val="16"/>
                <w:b w:val="1"/>
                <w:bCs w:val="1"/>
                <w:color w:val="0000FF"/>
              </w:rPr>
              <w:t>FINANCIAL STATEMENTS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b w:val="1"/>
                <w:bCs w:val="1"/>
                <w:color w:val="0000FF"/>
              </w:rPr>
              <w:t>Constellation Energy Corporation</w:t>
            </w:r>
          </w:p>
        </w:tc>
        <w:tc>
          <w:tcPr>
            <w:tcW w:w="5980" w:type="dxa"/>
            <w:vAlign w:val="bottom"/>
            <w:gridSpan w:val="16"/>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32"/>
          </w:tcPr>
          <w:p>
            <w:pPr>
              <w:spacing w:after="0"/>
              <w:rPr>
                <w:sz w:val="20"/>
                <w:szCs w:val="20"/>
                <w:color w:val="auto"/>
              </w:rPr>
            </w:pPr>
            <w:r>
              <w:rPr>
                <w:rFonts w:ascii="Arial" w:cs="Arial" w:eastAsia="Arial" w:hAnsi="Arial"/>
                <w:sz w:val="16"/>
                <w:szCs w:val="16"/>
                <w:color w:val="0000FF"/>
              </w:rPr>
              <w:t>Consolidated Statements of Operations and Comprehensive Income</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gridSpan w:val="29"/>
          </w:tcPr>
          <w:p>
            <w:pPr>
              <w:spacing w:after="0"/>
              <w:rPr>
                <w:sz w:val="20"/>
                <w:szCs w:val="20"/>
                <w:color w:val="auto"/>
              </w:rPr>
            </w:pPr>
            <w:r>
              <w:rPr>
                <w:rFonts w:ascii="Arial" w:cs="Arial" w:eastAsia="Arial" w:hAnsi="Arial"/>
                <w:sz w:val="16"/>
                <w:szCs w:val="16"/>
                <w:color w:val="0000FF"/>
              </w:rPr>
              <w:t>Consolidated Statements of Cash Flows</w:t>
            </w:r>
          </w:p>
        </w:tc>
        <w:tc>
          <w:tcPr>
            <w:tcW w:w="3480" w:type="dxa"/>
            <w:vAlign w:val="bottom"/>
            <w:gridSpan w:val="3"/>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13"/>
          </w:tcPr>
          <w:p>
            <w:pPr>
              <w:spacing w:after="0"/>
              <w:rPr>
                <w:sz w:val="20"/>
                <w:szCs w:val="20"/>
                <w:color w:val="auto"/>
              </w:rPr>
            </w:pPr>
            <w:r>
              <w:rPr>
                <w:rFonts w:ascii="Arial" w:cs="Arial" w:eastAsia="Arial" w:hAnsi="Arial"/>
                <w:sz w:val="16"/>
                <w:szCs w:val="16"/>
                <w:color w:val="0000FF"/>
              </w:rPr>
              <w:t>Consolidated Balance Sheets</w:t>
            </w:r>
          </w:p>
        </w:tc>
        <w:tc>
          <w:tcPr>
            <w:tcW w:w="740" w:type="dxa"/>
            <w:vAlign w:val="bottom"/>
            <w:gridSpan w:val="6"/>
          </w:tcPr>
          <w:p>
            <w:pPr>
              <w:spacing w:after="0"/>
              <w:rPr>
                <w:sz w:val="17"/>
                <w:szCs w:val="17"/>
                <w:color w:val="auto"/>
              </w:rPr>
            </w:pPr>
          </w:p>
        </w:tc>
        <w:tc>
          <w:tcPr>
            <w:tcW w:w="5500" w:type="dxa"/>
            <w:vAlign w:val="bottom"/>
            <w:gridSpan w:val="13"/>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Consolidated Statements of Changes in Equity</w:t>
            </w:r>
          </w:p>
        </w:tc>
        <w:tc>
          <w:tcPr>
            <w:tcW w:w="5020" w:type="dxa"/>
            <w:vAlign w:val="bottom"/>
            <w:gridSpan w:val="8"/>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80" w:type="dxa"/>
            <w:vAlign w:val="bottom"/>
            <w:gridSpan w:val="34"/>
          </w:tcPr>
          <w:p>
            <w:pPr>
              <w:spacing w:after="0"/>
              <w:rPr>
                <w:sz w:val="20"/>
                <w:szCs w:val="20"/>
                <w:color w:val="auto"/>
              </w:rPr>
            </w:pPr>
            <w:r>
              <w:rPr>
                <w:rFonts w:ascii="Arial" w:cs="Arial" w:eastAsia="Arial" w:hAnsi="Arial"/>
                <w:sz w:val="16"/>
                <w:szCs w:val="16"/>
                <w:b w:val="1"/>
                <w:bCs w:val="1"/>
                <w:color w:val="0000FF"/>
              </w:rPr>
              <w:t>Constellation Energy Generation, LLC</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32"/>
          </w:tcPr>
          <w:p>
            <w:pPr>
              <w:spacing w:after="0"/>
              <w:rPr>
                <w:sz w:val="20"/>
                <w:szCs w:val="20"/>
                <w:color w:val="auto"/>
              </w:rPr>
            </w:pPr>
            <w:r>
              <w:rPr>
                <w:rFonts w:ascii="Arial" w:cs="Arial" w:eastAsia="Arial" w:hAnsi="Arial"/>
                <w:sz w:val="16"/>
                <w:szCs w:val="16"/>
                <w:color w:val="0000FF"/>
              </w:rPr>
              <w:t>Consolidated Statements of Operations and Comprehensive Income</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12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top w:val="single" w:sz="8" w:color="0000FF"/>
            </w:tcBorders>
            <w:gridSpan w:val="29"/>
          </w:tcPr>
          <w:p>
            <w:pPr>
              <w:spacing w:after="0"/>
              <w:rPr>
                <w:sz w:val="20"/>
                <w:szCs w:val="20"/>
                <w:color w:val="auto"/>
              </w:rPr>
            </w:pPr>
            <w:r>
              <w:rPr>
                <w:rFonts w:ascii="Arial" w:cs="Arial" w:eastAsia="Arial" w:hAnsi="Arial"/>
                <w:sz w:val="16"/>
                <w:szCs w:val="16"/>
                <w:color w:val="0000FF"/>
              </w:rPr>
              <w:t>Consolidated Statements of Cash Flows</w:t>
            </w:r>
          </w:p>
        </w:tc>
        <w:tc>
          <w:tcPr>
            <w:tcW w:w="348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rPr>
              <w:t>Consolidated Balance Sheets</w:t>
            </w:r>
          </w:p>
        </w:tc>
        <w:tc>
          <w:tcPr>
            <w:tcW w:w="740" w:type="dxa"/>
            <w:vAlign w:val="bottom"/>
            <w:tcBorders>
              <w:top w:val="single" w:sz="8" w:color="0000FF"/>
            </w:tcBorders>
            <w:gridSpan w:val="6"/>
          </w:tcPr>
          <w:p>
            <w:pPr>
              <w:spacing w:after="0"/>
              <w:rPr>
                <w:sz w:val="17"/>
                <w:szCs w:val="17"/>
                <w:color w:val="auto"/>
              </w:rPr>
            </w:pPr>
          </w:p>
        </w:tc>
        <w:tc>
          <w:tcPr>
            <w:tcW w:w="550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Consolidated Statements of Changes in Equity</w:t>
            </w:r>
          </w:p>
        </w:tc>
        <w:tc>
          <w:tcPr>
            <w:tcW w:w="5020" w:type="dxa"/>
            <w:vAlign w:val="bottom"/>
            <w:gridSpan w:val="8"/>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80" w:type="dxa"/>
            <w:vAlign w:val="bottom"/>
            <w:gridSpan w:val="34"/>
          </w:tcPr>
          <w:p>
            <w:pPr>
              <w:spacing w:after="0"/>
              <w:rPr>
                <w:sz w:val="20"/>
                <w:szCs w:val="20"/>
                <w:color w:val="auto"/>
              </w:rPr>
            </w:pPr>
            <w:r>
              <w:rPr>
                <w:rFonts w:ascii="Arial" w:cs="Arial" w:eastAsia="Arial" w:hAnsi="Arial"/>
                <w:sz w:val="16"/>
                <w:szCs w:val="16"/>
                <w:b w:val="1"/>
                <w:bCs w:val="1"/>
                <w:color w:val="0000FF"/>
              </w:rPr>
              <w:t>Combined Notes to Consolidated Financial Statements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0" w:type="dxa"/>
            <w:vAlign w:val="bottom"/>
            <w:tcBorders>
              <w:top w:val="single" w:sz="8" w:color="0000FF"/>
            </w:tcBorders>
            <w:gridSpan w:val="2"/>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89"/>
              </w:rPr>
              <w:t>1.</w:t>
            </w:r>
          </w:p>
        </w:tc>
        <w:tc>
          <w:tcPr>
            <w:tcW w:w="1600" w:type="dxa"/>
            <w:vAlign w:val="bottom"/>
            <w:tcBorders>
              <w:top w:val="single" w:sz="8" w:color="0000FF"/>
              <w:bottom w:val="single" w:sz="8" w:color="0000FF"/>
            </w:tcBorders>
            <w:gridSpan w:val="7"/>
          </w:tcPr>
          <w:p>
            <w:pPr>
              <w:ind w:left="40"/>
              <w:spacing w:after="0"/>
              <w:rPr>
                <w:sz w:val="20"/>
                <w:szCs w:val="20"/>
                <w:color w:val="auto"/>
              </w:rPr>
            </w:pPr>
            <w:r>
              <w:rPr>
                <w:rFonts w:ascii="Arial" w:cs="Arial" w:eastAsia="Arial" w:hAnsi="Arial"/>
                <w:sz w:val="16"/>
                <w:szCs w:val="16"/>
                <w:color w:val="0000FF"/>
              </w:rPr>
              <w:t>Basis of Presentation</w:t>
            </w:r>
          </w:p>
        </w:tc>
        <w:tc>
          <w:tcPr>
            <w:tcW w:w="2280" w:type="dxa"/>
            <w:vAlign w:val="bottom"/>
            <w:tcBorders>
              <w:top w:val="single" w:sz="8" w:color="0000FF"/>
            </w:tcBorders>
            <w:gridSpan w:val="19"/>
          </w:tcPr>
          <w:p>
            <w:pPr>
              <w:spacing w:after="0"/>
              <w:rPr>
                <w:sz w:val="17"/>
                <w:szCs w:val="17"/>
                <w:color w:val="auto"/>
              </w:rPr>
            </w:pPr>
          </w:p>
        </w:tc>
        <w:tc>
          <w:tcPr>
            <w:tcW w:w="436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2.</w:t>
            </w:r>
          </w:p>
        </w:tc>
        <w:tc>
          <w:tcPr>
            <w:tcW w:w="8240" w:type="dxa"/>
            <w:vAlign w:val="bottom"/>
            <w:gridSpan w:val="31"/>
          </w:tcPr>
          <w:p>
            <w:pPr>
              <w:ind w:left="40"/>
              <w:spacing w:after="0"/>
              <w:rPr>
                <w:sz w:val="20"/>
                <w:szCs w:val="20"/>
                <w:color w:val="auto"/>
              </w:rPr>
            </w:pPr>
            <w:r>
              <w:rPr>
                <w:rFonts w:ascii="Arial" w:cs="Arial" w:eastAsia="Arial" w:hAnsi="Arial"/>
                <w:sz w:val="16"/>
                <w:szCs w:val="16"/>
                <w:color w:val="0000FF"/>
              </w:rPr>
              <w:t>Mergers, Acquisitions, and Dispositions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18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89"/>
              </w:rPr>
              <w:t>3.</w:t>
            </w:r>
          </w:p>
        </w:tc>
        <w:tc>
          <w:tcPr>
            <w:tcW w:w="1420" w:type="dxa"/>
            <w:vAlign w:val="bottom"/>
            <w:tcBorders>
              <w:top w:val="single" w:sz="8" w:color="0000FF"/>
              <w:bottom w:val="single" w:sz="8" w:color="0000FF"/>
            </w:tcBorders>
            <w:gridSpan w:val="4"/>
          </w:tcPr>
          <w:p>
            <w:pPr>
              <w:ind w:left="40"/>
              <w:spacing w:after="0"/>
              <w:rPr>
                <w:sz w:val="20"/>
                <w:szCs w:val="20"/>
                <w:color w:val="auto"/>
              </w:rPr>
            </w:pPr>
            <w:r>
              <w:rPr>
                <w:rFonts w:ascii="Arial" w:cs="Arial" w:eastAsia="Arial" w:hAnsi="Arial"/>
                <w:sz w:val="16"/>
                <w:szCs w:val="16"/>
                <w:color w:val="0000FF"/>
              </w:rPr>
              <w:t>Regulatory Matters</w:t>
            </w:r>
          </w:p>
        </w:tc>
        <w:tc>
          <w:tcPr>
            <w:tcW w:w="1440" w:type="dxa"/>
            <w:vAlign w:val="bottom"/>
            <w:tcBorders>
              <w:top w:val="single" w:sz="8" w:color="0000FF"/>
            </w:tcBorders>
            <w:gridSpan w:val="16"/>
          </w:tcPr>
          <w:p>
            <w:pPr>
              <w:spacing w:after="0"/>
              <w:rPr>
                <w:sz w:val="17"/>
                <w:szCs w:val="17"/>
                <w:color w:val="auto"/>
              </w:rPr>
            </w:pPr>
          </w:p>
        </w:tc>
        <w:tc>
          <w:tcPr>
            <w:tcW w:w="538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4.</w:t>
            </w:r>
          </w:p>
        </w:tc>
        <w:tc>
          <w:tcPr>
            <w:tcW w:w="8240" w:type="dxa"/>
            <w:vAlign w:val="bottom"/>
            <w:gridSpan w:val="31"/>
          </w:tcPr>
          <w:p>
            <w:pPr>
              <w:ind w:left="40"/>
              <w:spacing w:after="0"/>
              <w:rPr>
                <w:sz w:val="20"/>
                <w:szCs w:val="20"/>
                <w:color w:val="auto"/>
              </w:rPr>
            </w:pPr>
            <w:r>
              <w:rPr>
                <w:rFonts w:ascii="Arial" w:cs="Arial" w:eastAsia="Arial" w:hAnsi="Arial"/>
                <w:sz w:val="16"/>
                <w:szCs w:val="16"/>
                <w:color w:val="0000FF"/>
              </w:rPr>
              <w:t>Revenue from Contracts with Customers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20</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Arial" w:cs="Arial" w:eastAsia="Arial" w:hAnsi="Arial"/>
                <w:sz w:val="16"/>
                <w:szCs w:val="16"/>
                <w:color w:val="0000FF"/>
                <w:w w:val="89"/>
              </w:rPr>
              <w:t>5.</w:t>
            </w:r>
          </w:p>
        </w:tc>
        <w:tc>
          <w:tcPr>
            <w:tcW w:w="2960" w:type="dxa"/>
            <w:vAlign w:val="bottom"/>
            <w:tcBorders>
              <w:top w:val="single" w:sz="8" w:color="0000FF"/>
            </w:tcBorders>
            <w:gridSpan w:val="21"/>
          </w:tcPr>
          <w:p>
            <w:pPr>
              <w:ind w:left="40"/>
              <w:spacing w:after="0"/>
              <w:rPr>
                <w:sz w:val="20"/>
                <w:szCs w:val="20"/>
                <w:color w:val="auto"/>
              </w:rPr>
            </w:pPr>
            <w:r>
              <w:rPr>
                <w:rFonts w:ascii="Arial" w:cs="Arial" w:eastAsia="Arial" w:hAnsi="Arial"/>
                <w:sz w:val="16"/>
                <w:szCs w:val="16"/>
                <w:color w:val="0000FF"/>
              </w:rPr>
              <w:t>Segment Information</w:t>
            </w:r>
          </w:p>
        </w:tc>
        <w:tc>
          <w:tcPr>
            <w:tcW w:w="5280" w:type="dxa"/>
            <w:vAlign w:val="bottom"/>
            <w:gridSpan w:val="10"/>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32"/>
          </w:tcPr>
          <w:p>
            <w:pPr>
              <w:spacing w:after="0"/>
              <w:rPr>
                <w:sz w:val="20"/>
                <w:szCs w:val="20"/>
                <w:color w:val="auto"/>
              </w:rPr>
            </w:pPr>
            <w:r>
              <w:rPr>
                <w:rFonts w:ascii="Arial" w:cs="Arial" w:eastAsia="Arial" w:hAnsi="Arial"/>
                <w:sz w:val="16"/>
                <w:szCs w:val="16"/>
                <w:color w:val="0000FF"/>
              </w:rPr>
              <w:t>6. Accounts Receivable</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7.</w:t>
            </w:r>
          </w:p>
        </w:tc>
        <w:tc>
          <w:tcPr>
            <w:tcW w:w="8240" w:type="dxa"/>
            <w:vAlign w:val="bottom"/>
            <w:gridSpan w:val="31"/>
          </w:tcPr>
          <w:p>
            <w:pPr>
              <w:ind w:left="40"/>
              <w:spacing w:after="0"/>
              <w:rPr>
                <w:sz w:val="20"/>
                <w:szCs w:val="20"/>
                <w:color w:val="auto"/>
              </w:rPr>
            </w:pPr>
            <w:r>
              <w:rPr>
                <w:rFonts w:ascii="Arial" w:cs="Arial" w:eastAsia="Arial" w:hAnsi="Arial"/>
                <w:sz w:val="16"/>
                <w:szCs w:val="16"/>
                <w:color w:val="0000FF"/>
              </w:rPr>
              <w:t>Nuclear Decommissioning</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40" w:type="dxa"/>
            <w:vAlign w:val="bottom"/>
            <w:tcBorders>
              <w:top w:val="single" w:sz="8" w:color="0000FF"/>
            </w:tcBorders>
          </w:tcPr>
          <w:p>
            <w:pPr>
              <w:spacing w:after="0"/>
              <w:rPr>
                <w:sz w:val="20"/>
                <w:szCs w:val="20"/>
                <w:color w:val="auto"/>
              </w:rPr>
            </w:pPr>
            <w:r>
              <w:rPr>
                <w:rFonts w:ascii="Arial" w:cs="Arial" w:eastAsia="Arial" w:hAnsi="Arial"/>
                <w:sz w:val="16"/>
                <w:szCs w:val="16"/>
                <w:color w:val="0000FF"/>
                <w:w w:val="89"/>
              </w:rPr>
              <w:t>8.</w:t>
            </w:r>
          </w:p>
        </w:tc>
        <w:tc>
          <w:tcPr>
            <w:tcW w:w="1920" w:type="dxa"/>
            <w:vAlign w:val="bottom"/>
            <w:tcBorders>
              <w:top w:val="single" w:sz="8" w:color="0000FF"/>
            </w:tcBorders>
            <w:gridSpan w:val="11"/>
          </w:tcPr>
          <w:p>
            <w:pPr>
              <w:ind w:left="40"/>
              <w:spacing w:after="0"/>
              <w:rPr>
                <w:sz w:val="20"/>
                <w:szCs w:val="20"/>
                <w:color w:val="auto"/>
              </w:rPr>
            </w:pPr>
            <w:r>
              <w:rPr>
                <w:rFonts w:ascii="Arial" w:cs="Arial" w:eastAsia="Arial" w:hAnsi="Arial"/>
                <w:sz w:val="16"/>
                <w:szCs w:val="16"/>
                <w:color w:val="0000FF"/>
              </w:rPr>
              <w:t>Income Taxes</w:t>
            </w:r>
          </w:p>
        </w:tc>
        <w:tc>
          <w:tcPr>
            <w:tcW w:w="6320" w:type="dxa"/>
            <w:vAlign w:val="bottom"/>
            <w:gridSpan w:val="20"/>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0000FF"/>
                <w:w w:val="89"/>
              </w:rPr>
              <w:t>9.</w:t>
            </w:r>
          </w:p>
        </w:tc>
        <w:tc>
          <w:tcPr>
            <w:tcW w:w="8240" w:type="dxa"/>
            <w:vAlign w:val="bottom"/>
            <w:gridSpan w:val="31"/>
          </w:tcPr>
          <w:p>
            <w:pPr>
              <w:ind w:left="40"/>
              <w:spacing w:after="0"/>
              <w:rPr>
                <w:sz w:val="20"/>
                <w:szCs w:val="20"/>
                <w:color w:val="auto"/>
              </w:rPr>
            </w:pPr>
            <w:r>
              <w:rPr>
                <w:rFonts w:ascii="Arial" w:cs="Arial" w:eastAsia="Arial" w:hAnsi="Arial"/>
                <w:sz w:val="16"/>
                <w:szCs w:val="16"/>
                <w:color w:val="0000FF"/>
              </w:rPr>
              <w:t>Retirement Benefits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32"/>
          </w:tcPr>
          <w:p>
            <w:pPr>
              <w:spacing w:after="0"/>
              <w:rPr>
                <w:sz w:val="20"/>
                <w:szCs w:val="20"/>
                <w:color w:val="auto"/>
              </w:rPr>
            </w:pPr>
            <w:r>
              <w:rPr>
                <w:rFonts w:ascii="Arial" w:cs="Arial" w:eastAsia="Arial" w:hAnsi="Arial"/>
                <w:sz w:val="16"/>
                <w:szCs w:val="16"/>
                <w:color w:val="0000FF"/>
              </w:rPr>
              <w:t>10. Derivative Financial Instruments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32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11. Debt and Credit Agreements</w:t>
            </w:r>
          </w:p>
        </w:tc>
        <w:tc>
          <w:tcPr>
            <w:tcW w:w="5800" w:type="dxa"/>
            <w:vAlign w:val="bottom"/>
            <w:gridSpan w:val="15"/>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32"/>
          </w:tcPr>
          <w:p>
            <w:pPr>
              <w:spacing w:after="0"/>
              <w:rPr>
                <w:sz w:val="20"/>
                <w:szCs w:val="20"/>
                <w:color w:val="auto"/>
              </w:rPr>
            </w:pPr>
            <w:r>
              <w:rPr>
                <w:rFonts w:ascii="Arial" w:cs="Arial" w:eastAsia="Arial" w:hAnsi="Arial"/>
                <w:sz w:val="16"/>
                <w:szCs w:val="16"/>
                <w:color w:val="0000FF"/>
              </w:rPr>
              <w:t>12. Fair Value of Financial Assets and Liabilities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38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13. Commitments and Contingencies</w:t>
            </w:r>
          </w:p>
        </w:tc>
        <w:tc>
          <w:tcPr>
            <w:tcW w:w="496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14. Shareholders' Equity</w:t>
            </w:r>
          </w:p>
        </w:tc>
        <w:tc>
          <w:tcPr>
            <w:tcW w:w="5660" w:type="dxa"/>
            <w:vAlign w:val="bottom"/>
            <w:gridSpan w:val="14"/>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9"/>
              </w:rPr>
              <w:t>15. Variable Interest Entities</w:t>
            </w:r>
          </w:p>
        </w:tc>
        <w:tc>
          <w:tcPr>
            <w:tcW w:w="6360" w:type="dxa"/>
            <w:vAlign w:val="bottom"/>
            <w:gridSpan w:val="21"/>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rPr>
              <w:t>16. Supplemental Financial Information</w:t>
            </w:r>
          </w:p>
        </w:tc>
        <w:tc>
          <w:tcPr>
            <w:tcW w:w="550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32"/>
          </w:tcPr>
          <w:p>
            <w:pPr>
              <w:spacing w:after="0"/>
              <w:rPr>
                <w:sz w:val="20"/>
                <w:szCs w:val="20"/>
                <w:color w:val="auto"/>
              </w:rPr>
            </w:pPr>
            <w:r>
              <w:rPr>
                <w:rFonts w:ascii="Arial" w:cs="Arial" w:eastAsia="Arial" w:hAnsi="Arial"/>
                <w:sz w:val="16"/>
                <w:szCs w:val="16"/>
                <w:color w:val="0000FF"/>
              </w:rPr>
              <w:t>17. Related Party Transactions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54</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20" w:type="dxa"/>
            <w:vAlign w:val="bottom"/>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6"/>
                <w:szCs w:val="16"/>
                <w:b w:val="1"/>
                <w:bCs w:val="1"/>
                <w:color w:val="0000FF"/>
                <w:w w:val="85"/>
              </w:rPr>
              <w:t>ITEM 2.</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80" w:type="dxa"/>
            <w:vAlign w:val="bottom"/>
            <w:gridSpan w:val="35"/>
          </w:tcPr>
          <w:p>
            <w:pPr>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55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9"/>
              </w:rPr>
              <w:t>Executive Overview</w:t>
            </w:r>
          </w:p>
        </w:tc>
        <w:tc>
          <w:tcPr>
            <w:tcW w:w="6680" w:type="dxa"/>
            <w:vAlign w:val="bottom"/>
            <w:tcBorders>
              <w:top w:val="single" w:sz="8" w:color="0000FF"/>
            </w:tcBorders>
            <w:gridSpan w:val="28"/>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55</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gridSpan w:val="31"/>
          </w:tcPr>
          <w:p>
            <w:pPr>
              <w:spacing w:after="0"/>
              <w:rPr>
                <w:sz w:val="20"/>
                <w:szCs w:val="20"/>
                <w:color w:val="auto"/>
              </w:rPr>
            </w:pPr>
            <w:r>
              <w:rPr>
                <w:rFonts w:ascii="Arial" w:cs="Arial" w:eastAsia="Arial" w:hAnsi="Arial"/>
                <w:sz w:val="16"/>
                <w:szCs w:val="16"/>
                <w:color w:val="0000FF"/>
              </w:rPr>
              <w:t>Significant Transactions and Developments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55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80" w:type="dxa"/>
            <w:vAlign w:val="bottom"/>
            <w:gridSpan w:val="33"/>
          </w:tcPr>
          <w:p>
            <w:pPr>
              <w:spacing w:after="0"/>
              <w:rPr>
                <w:sz w:val="20"/>
                <w:szCs w:val="20"/>
                <w:color w:val="auto"/>
              </w:rPr>
            </w:pPr>
            <w:r>
              <w:rPr>
                <w:rFonts w:ascii="Arial" w:cs="Arial" w:eastAsia="Arial" w:hAnsi="Arial"/>
                <w:sz w:val="16"/>
                <w:szCs w:val="16"/>
                <w:color w:val="0000FF"/>
              </w:rPr>
              <w:t>Other Key Business Drivers and Management Strategies</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56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top w:val="single" w:sz="8" w:color="0000FF"/>
            </w:tcBorders>
            <w:gridSpan w:val="27"/>
          </w:tcPr>
          <w:p>
            <w:pPr>
              <w:spacing w:after="0"/>
              <w:rPr>
                <w:sz w:val="20"/>
                <w:szCs w:val="20"/>
                <w:color w:val="auto"/>
              </w:rPr>
            </w:pPr>
            <w:r>
              <w:rPr>
                <w:rFonts w:ascii="Arial" w:cs="Arial" w:eastAsia="Arial" w:hAnsi="Arial"/>
                <w:sz w:val="16"/>
                <w:szCs w:val="16"/>
                <w:color w:val="0000FF"/>
              </w:rPr>
              <w:t>Critical Accounting Policies and Estimates</w:t>
            </w:r>
          </w:p>
        </w:tc>
        <w:tc>
          <w:tcPr>
            <w:tcW w:w="442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tcBorders>
              <w:top w:val="single" w:sz="8" w:color="0000FF"/>
            </w:tcBorders>
            <w:gridSpan w:val="21"/>
          </w:tcPr>
          <w:p>
            <w:pPr>
              <w:spacing w:after="0"/>
              <w:rPr>
                <w:sz w:val="20"/>
                <w:szCs w:val="20"/>
                <w:color w:val="auto"/>
              </w:rPr>
            </w:pPr>
            <w:r>
              <w:rPr>
                <w:rFonts w:ascii="Arial" w:cs="Arial" w:eastAsia="Arial" w:hAnsi="Arial"/>
                <w:sz w:val="16"/>
                <w:szCs w:val="16"/>
                <w:color w:val="0000FF"/>
              </w:rPr>
              <w:t>Financial Results of Operations</w:t>
            </w:r>
          </w:p>
        </w:tc>
        <w:tc>
          <w:tcPr>
            <w:tcW w:w="5480" w:type="dxa"/>
            <w:vAlign w:val="bottom"/>
            <w:gridSpan w:val="12"/>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57</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Liquidity and Capital Resources</w:t>
            </w:r>
          </w:p>
        </w:tc>
        <w:tc>
          <w:tcPr>
            <w:tcW w:w="6160" w:type="dxa"/>
            <w:vAlign w:val="bottom"/>
            <w:gridSpan w:val="18"/>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69</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0000FF"/>
              </w:rPr>
              <w:t>ITEM 3.</w:t>
            </w:r>
          </w:p>
        </w:tc>
        <w:tc>
          <w:tcPr>
            <w:tcW w:w="20" w:type="dxa"/>
            <w:vAlign w:val="bottom"/>
          </w:tcPr>
          <w:p>
            <w:pPr>
              <w:spacing w:after="0"/>
              <w:rPr>
                <w:sz w:val="17"/>
                <w:szCs w:val="17"/>
                <w:color w:val="auto"/>
              </w:rPr>
            </w:pPr>
          </w:p>
        </w:tc>
        <w:tc>
          <w:tcPr>
            <w:tcW w:w="8680" w:type="dxa"/>
            <w:vAlign w:val="bottom"/>
            <w:gridSpan w:val="35"/>
          </w:tcPr>
          <w:p>
            <w:pPr>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1240" w:type="dxa"/>
            <w:vAlign w:val="bottom"/>
            <w:gridSpan w:val="3"/>
          </w:tcPr>
          <w:p>
            <w:pPr>
              <w:jc w:val="right"/>
              <w:spacing w:after="0"/>
              <w:rPr>
                <w:sz w:val="20"/>
                <w:szCs w:val="20"/>
                <w:color w:val="auto"/>
              </w:rPr>
            </w:pPr>
            <w:r>
              <w:rPr>
                <w:rFonts w:ascii="Arial" w:cs="Arial" w:eastAsia="Arial" w:hAnsi="Arial"/>
                <w:sz w:val="16"/>
                <w:szCs w:val="16"/>
                <w:color w:val="0000FF"/>
              </w:rPr>
              <w:t>75</w:t>
            </w:r>
          </w:p>
        </w:tc>
        <w:tc>
          <w:tcPr>
            <w:tcW w:w="20" w:type="dxa"/>
            <w:vAlign w:val="bottom"/>
          </w:tcPr>
          <w:p>
            <w:pPr>
              <w:spacing w:after="0"/>
              <w:rPr>
                <w:sz w:val="17"/>
                <w:szCs w:val="17"/>
                <w:color w:val="auto"/>
              </w:rPr>
            </w:pPr>
          </w:p>
        </w:tc>
      </w:tr>
      <w:tr>
        <w:trPr>
          <w:trHeight w:val="1688"/>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0000FF"/>
                <w:w w:val="96"/>
              </w:rPr>
              <w:t>ITEM 4.</w:t>
            </w:r>
          </w:p>
        </w:tc>
        <w:tc>
          <w:tcPr>
            <w:tcW w:w="480" w:type="dxa"/>
            <w:vAlign w:val="bottom"/>
            <w:gridSpan w:val="2"/>
          </w:tcPr>
          <w:p>
            <w:pPr>
              <w:spacing w:after="0"/>
              <w:rPr>
                <w:sz w:val="16"/>
                <w:szCs w:val="16"/>
                <w:color w:val="auto"/>
              </w:rPr>
            </w:pP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CONTROLS AND PROCEDURES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0000FF"/>
                <w:w w:val="94"/>
              </w:rPr>
              <w:t>PART II</w:t>
            </w:r>
          </w:p>
        </w:tc>
        <w:tc>
          <w:tcPr>
            <w:tcW w:w="480" w:type="dxa"/>
            <w:vAlign w:val="bottom"/>
            <w:gridSpan w:val="2"/>
          </w:tcPr>
          <w:p>
            <w:pPr>
              <w:spacing w:after="0"/>
              <w:rPr>
                <w:sz w:val="17"/>
                <w:szCs w:val="17"/>
                <w:color w:val="auto"/>
              </w:rPr>
            </w:pP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0000FF"/>
                <w:w w:val="96"/>
              </w:rPr>
              <w:t>ITEM 1.</w:t>
            </w:r>
          </w:p>
        </w:tc>
        <w:tc>
          <w:tcPr>
            <w:tcW w:w="480" w:type="dxa"/>
            <w:vAlign w:val="bottom"/>
            <w:gridSpan w:val="2"/>
          </w:tcPr>
          <w:p>
            <w:pPr>
              <w:spacing w:after="0"/>
              <w:rPr>
                <w:sz w:val="17"/>
                <w:szCs w:val="17"/>
                <w:color w:val="auto"/>
              </w:rPr>
            </w:pP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LEGAL PROCEEDINGS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0000FF"/>
              </w:rPr>
              <w:t>ITEM 1A.</w:t>
            </w: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RISK FACTORS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0000FF"/>
                <w:w w:val="96"/>
              </w:rPr>
              <w:t>ITEM 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80</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0000FF"/>
                <w:w w:val="96"/>
              </w:rPr>
              <w:t>ITEM 4.</w:t>
            </w:r>
          </w:p>
        </w:tc>
        <w:tc>
          <w:tcPr>
            <w:tcW w:w="480" w:type="dxa"/>
            <w:vAlign w:val="bottom"/>
            <w:gridSpan w:val="2"/>
          </w:tcPr>
          <w:p>
            <w:pPr>
              <w:spacing w:after="0"/>
              <w:rPr>
                <w:sz w:val="17"/>
                <w:szCs w:val="17"/>
                <w:color w:val="auto"/>
              </w:rPr>
            </w:pP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MINE SAFETY DISCLOSURES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0000FF"/>
                <w:w w:val="96"/>
              </w:rPr>
              <w:t>ITEM 5.</w:t>
            </w:r>
          </w:p>
        </w:tc>
        <w:tc>
          <w:tcPr>
            <w:tcW w:w="480" w:type="dxa"/>
            <w:vAlign w:val="bottom"/>
            <w:gridSpan w:val="2"/>
          </w:tcPr>
          <w:p>
            <w:pPr>
              <w:spacing w:after="0"/>
              <w:rPr>
                <w:sz w:val="17"/>
                <w:szCs w:val="17"/>
                <w:color w:val="auto"/>
              </w:rPr>
            </w:pP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OTHER INFORMATION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0000FF"/>
                <w:w w:val="96"/>
              </w:rPr>
              <w:t>ITEM 6.</w:t>
            </w:r>
          </w:p>
        </w:tc>
        <w:tc>
          <w:tcPr>
            <w:tcW w:w="480" w:type="dxa"/>
            <w:vAlign w:val="bottom"/>
            <w:gridSpan w:val="2"/>
          </w:tcPr>
          <w:p>
            <w:pPr>
              <w:spacing w:after="0"/>
              <w:rPr>
                <w:sz w:val="17"/>
                <w:szCs w:val="17"/>
                <w:color w:val="auto"/>
              </w:rPr>
            </w:pPr>
          </w:p>
        </w:tc>
        <w:tc>
          <w:tcPr>
            <w:tcW w:w="9960" w:type="dxa"/>
            <w:vAlign w:val="bottom"/>
            <w:gridSpan w:val="12"/>
          </w:tcPr>
          <w:p>
            <w:pPr>
              <w:ind w:left="220"/>
              <w:spacing w:after="0"/>
              <w:rPr>
                <w:sz w:val="20"/>
                <w:szCs w:val="20"/>
                <w:color w:val="auto"/>
              </w:rPr>
            </w:pPr>
            <w:r>
              <w:rPr>
                <w:rFonts w:ascii="Arial" w:cs="Arial" w:eastAsia="Arial" w:hAnsi="Arial"/>
                <w:sz w:val="16"/>
                <w:szCs w:val="16"/>
                <w:b w:val="1"/>
                <w:bCs w:val="1"/>
                <w:color w:val="0000FF"/>
              </w:rPr>
              <w:t>EXHIBITS</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82</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w w:val="99"/>
              </w:rPr>
              <w:t>SIGNATURES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83</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40" w:type="dxa"/>
            <w:vAlign w:val="bottom"/>
            <w:gridSpan w:val="10"/>
          </w:tcPr>
          <w:p>
            <w:pPr>
              <w:spacing w:after="0"/>
              <w:rPr>
                <w:sz w:val="20"/>
                <w:szCs w:val="20"/>
                <w:color w:val="auto"/>
              </w:rPr>
            </w:pPr>
            <w:r>
              <w:rPr>
                <w:rFonts w:ascii="Arial" w:cs="Arial" w:eastAsia="Arial" w:hAnsi="Arial"/>
                <w:sz w:val="16"/>
                <w:szCs w:val="16"/>
                <w:color w:val="0000FF"/>
              </w:rPr>
              <w:t>Constellation Energy Corporation</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40" w:type="dxa"/>
            <w:vAlign w:val="bottom"/>
            <w:gridSpan w:val="10"/>
          </w:tcPr>
          <w:p>
            <w:pPr>
              <w:spacing w:after="0"/>
              <w:rPr>
                <w:sz w:val="20"/>
                <w:szCs w:val="20"/>
                <w:color w:val="auto"/>
              </w:rPr>
            </w:pPr>
            <w:r>
              <w:rPr>
                <w:rFonts w:ascii="Arial" w:cs="Arial" w:eastAsia="Arial" w:hAnsi="Arial"/>
                <w:sz w:val="16"/>
                <w:szCs w:val="16"/>
                <w:color w:val="0000FF"/>
              </w:rPr>
              <w:t>Constellation Energy Generation, LLC</w:t>
            </w:r>
          </w:p>
        </w:tc>
        <w:tc>
          <w:tcPr>
            <w:tcW w:w="180" w:type="dxa"/>
            <w:vAlign w:val="bottom"/>
          </w:tcPr>
          <w:p>
            <w:pPr>
              <w:jc w:val="right"/>
              <w:spacing w:after="0"/>
              <w:rPr>
                <w:sz w:val="20"/>
                <w:szCs w:val="20"/>
                <w:color w:val="auto"/>
              </w:rPr>
            </w:pPr>
            <w:r>
              <w:rPr>
                <w:rFonts w:ascii="Arial" w:cs="Arial" w:eastAsia="Arial" w:hAnsi="Arial"/>
                <w:sz w:val="16"/>
                <w:szCs w:val="16"/>
                <w:color w:val="0000FF"/>
                <w:w w:val="89"/>
              </w:rPr>
              <w:t>84</w:t>
            </w:r>
          </w:p>
        </w:tc>
        <w:tc>
          <w:tcPr>
            <w:tcW w:w="20" w:type="dxa"/>
            <w:vAlign w:val="bottom"/>
          </w:tcPr>
          <w:p>
            <w:pPr>
              <w:spacing w:after="0"/>
              <w:rPr>
                <w:sz w:val="17"/>
                <w:szCs w:val="17"/>
                <w:color w:val="auto"/>
              </w:rPr>
            </w:pPr>
          </w:p>
        </w:tc>
      </w:tr>
      <w:tr>
        <w:trPr>
          <w:trHeight w:val="168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400" w:type="dxa"/>
            <w:vAlign w:val="bottom"/>
            <w:gridSpan w:val="2"/>
          </w:tcPr>
          <w:p>
            <w:pPr>
              <w:jc w:val="center"/>
              <w:ind w:right="1739"/>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180"/>
        </w:trPr>
        <w:tc>
          <w:tcPr>
            <w:tcW w:w="20" w:type="dxa"/>
            <w:vAlign w:val="bottom"/>
          </w:tcPr>
          <w:p>
            <w:pPr>
              <w:spacing w:after="0"/>
              <w:rPr>
                <w:sz w:val="15"/>
                <w:szCs w:val="15"/>
                <w:color w:val="auto"/>
              </w:rPr>
            </w:pPr>
          </w:p>
        </w:tc>
        <w:tc>
          <w:tcPr>
            <w:tcW w:w="11220" w:type="dxa"/>
            <w:vAlign w:val="bottom"/>
            <w:gridSpan w:val="3"/>
          </w:tcPr>
          <w:p>
            <w:pPr>
              <w:spacing w:after="0" w:line="180" w:lineRule="exact"/>
              <w:rPr>
                <w:sz w:val="20"/>
                <w:szCs w:val="20"/>
                <w:color w:val="auto"/>
              </w:rPr>
            </w:pPr>
            <w:r>
              <w:rPr>
                <w:rFonts w:ascii="Arial" w:cs="Arial" w:eastAsia="Arial" w:hAnsi="Arial"/>
                <w:sz w:val="16"/>
                <w:szCs w:val="16"/>
                <w:b w:val="1"/>
                <w:bCs w:val="1"/>
                <w:color w:val="auto"/>
              </w:rPr>
              <w:t>Constellation Energy Corporation and Related Entities</w:t>
            </w: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CEG Parent</w:t>
            </w:r>
          </w:p>
        </w:tc>
        <w:tc>
          <w:tcPr>
            <w:tcW w:w="2380" w:type="dxa"/>
            <w:vAlign w:val="bottom"/>
            <w:shd w:val="clear" w:color="auto" w:fill="CCEEFF"/>
          </w:tcPr>
          <w:p>
            <w:pPr>
              <w:spacing w:after="0"/>
              <w:rPr>
                <w:sz w:val="18"/>
                <w:szCs w:val="18"/>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Constellation Energy Corporation</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Constellation</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Constellation Energy Generation, LLC (formerly Exelon Generation Company, LLC)</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Registrants</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CEG Parent and Constellation, collectively</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Antelope Valley</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Antelope Valley Solar Ranch One</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Continental Wind</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Continental Wind LLC</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CR</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Constellation Renewables, LLC (formerly ExGen Renewables IV, LLC)</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CRP</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Constellation Renewables Partners, LLC (formerly ExGen Renewables Partners, LLC)</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FitzPatrick</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James A. FitzPatrick nuclear generating station</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Ginna</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 E. Ginna nuclear generating station</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NER</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NewEnergy Receivables LLC</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NMP</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Nine Mile Point nuclear generating station</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RPG</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Renewable Power Generation, LLC</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TMI</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Three Mile Island nuclear facility</w:t>
            </w:r>
          </w:p>
        </w:tc>
      </w:tr>
      <w:tr>
        <w:trPr>
          <w:trHeight w:val="211"/>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West Medway II</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West Medway Generating Station II</w:t>
            </w:r>
          </w:p>
        </w:tc>
      </w:tr>
      <w:tr>
        <w:trPr>
          <w:trHeight w:val="545"/>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Former Related Entities</w:t>
            </w:r>
          </w:p>
        </w:tc>
        <w:tc>
          <w:tcPr>
            <w:tcW w:w="238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Exelon</w:t>
            </w:r>
          </w:p>
        </w:tc>
        <w:tc>
          <w:tcPr>
            <w:tcW w:w="2380" w:type="dxa"/>
            <w:vAlign w:val="bottom"/>
            <w:shd w:val="clear" w:color="auto" w:fill="CCEEFF"/>
          </w:tcPr>
          <w:p>
            <w:pPr>
              <w:spacing w:after="0"/>
              <w:rPr>
                <w:sz w:val="18"/>
                <w:szCs w:val="18"/>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Exelon Corporation</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ComEd</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Commonwealth Edison Company</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PECO</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PECO Energy Company</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BGE</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Baltimore Gas and Electric Company</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PHI</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Pepco Holdings LLC (formerly Pepco Holdings, Inc.)</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Pepco</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Potomac Electric Power Company</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DPL</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Delmarva Power &amp; Light Company</w:t>
            </w:r>
          </w:p>
        </w:tc>
      </w:tr>
      <w:tr>
        <w:trPr>
          <w:trHeight w:val="213"/>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6"/>
                <w:szCs w:val="16"/>
                <w:i w:val="1"/>
                <w:iCs w:val="1"/>
                <w:color w:val="auto"/>
              </w:rPr>
              <w:t>ACE</w:t>
            </w:r>
          </w:p>
        </w:tc>
        <w:tc>
          <w:tcPr>
            <w:tcW w:w="2380" w:type="dxa"/>
            <w:vAlign w:val="bottom"/>
          </w:tcPr>
          <w:p>
            <w:pPr>
              <w:spacing w:after="0"/>
              <w:rPr>
                <w:sz w:val="18"/>
                <w:szCs w:val="18"/>
                <w:color w:val="auto"/>
              </w:rPr>
            </w:pPr>
          </w:p>
        </w:tc>
        <w:tc>
          <w:tcPr>
            <w:tcW w:w="7020" w:type="dxa"/>
            <w:vAlign w:val="bottom"/>
          </w:tcPr>
          <w:p>
            <w:pPr>
              <w:ind w:left="60"/>
              <w:spacing w:after="0"/>
              <w:rPr>
                <w:sz w:val="20"/>
                <w:szCs w:val="20"/>
                <w:color w:val="auto"/>
              </w:rPr>
            </w:pPr>
            <w:r>
              <w:rPr>
                <w:rFonts w:ascii="Arial" w:cs="Arial" w:eastAsia="Arial" w:hAnsi="Arial"/>
                <w:sz w:val="16"/>
                <w:szCs w:val="16"/>
                <w:color w:val="auto"/>
              </w:rPr>
              <w:t>Atlantic City Electric Company</w:t>
            </w:r>
          </w:p>
        </w:tc>
      </w:tr>
      <w:tr>
        <w:trPr>
          <w:trHeight w:val="219"/>
        </w:trPr>
        <w:tc>
          <w:tcPr>
            <w:tcW w:w="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BSC</w:t>
            </w:r>
          </w:p>
        </w:tc>
        <w:tc>
          <w:tcPr>
            <w:tcW w:w="2380" w:type="dxa"/>
            <w:vAlign w:val="bottom"/>
            <w:shd w:val="clear" w:color="auto" w:fill="CCEEFF"/>
          </w:tcPr>
          <w:p>
            <w:pPr>
              <w:spacing w:after="0"/>
              <w:rPr>
                <w:sz w:val="19"/>
                <w:szCs w:val="19"/>
                <w:color w:val="auto"/>
              </w:rPr>
            </w:pPr>
          </w:p>
        </w:tc>
        <w:tc>
          <w:tcPr>
            <w:tcW w:w="7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Exelon Business Services Company, LLC</w:t>
            </w:r>
          </w:p>
        </w:tc>
      </w:tr>
      <w:tr>
        <w:trPr>
          <w:trHeight w:val="81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400" w:type="dxa"/>
            <w:vAlign w:val="bottom"/>
            <w:gridSpan w:val="2"/>
          </w:tcPr>
          <w:p>
            <w:pPr>
              <w:jc w:val="right"/>
              <w:ind w:right="5499"/>
              <w:spacing w:after="0"/>
              <w:rPr>
                <w:sz w:val="20"/>
                <w:szCs w:val="20"/>
                <w:color w:val="auto"/>
              </w:rPr>
            </w:pPr>
            <w:r>
              <w:rPr>
                <w:rFonts w:ascii="Arial" w:cs="Arial" w:eastAsia="Arial" w:hAnsi="Arial"/>
                <w:sz w:val="16"/>
                <w:szCs w:val="16"/>
                <w:color w:val="auto"/>
              </w:rPr>
              <w:t>1</w:t>
            </w:r>
          </w:p>
        </w:tc>
      </w:tr>
      <w:tr>
        <w:trPr>
          <w:trHeight w:val="837"/>
        </w:trPr>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w w:val="99"/>
              </w:rPr>
              <w:t>Other Terms and Abbreviations</w:t>
            </w:r>
          </w:p>
        </w:tc>
        <w:tc>
          <w:tcPr>
            <w:tcW w:w="8820" w:type="dxa"/>
            <w:vAlign w:val="bottom"/>
          </w:tcPr>
          <w:p>
            <w:pPr>
              <w:ind w:left="1440"/>
              <w:spacing w:after="0"/>
              <w:rPr>
                <w:sz w:val="20"/>
                <w:szCs w:val="20"/>
                <w:color w:val="auto"/>
              </w:rPr>
            </w:pPr>
            <w:r>
              <w:rPr>
                <w:rFonts w:ascii="Arial" w:cs="Arial" w:eastAsia="Arial" w:hAnsi="Arial"/>
                <w:sz w:val="16"/>
                <w:szCs w:val="16"/>
                <w:b w:val="1"/>
                <w:bCs w:val="1"/>
                <w:color w:val="auto"/>
              </w:rPr>
              <w:t>GLOSSARY OF TERMS AND ABBREVIATIONS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8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AESO</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Alberta Electric Systems Operator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AOCI</w:t>
            </w:r>
          </w:p>
        </w:tc>
        <w:tc>
          <w:tcPr>
            <w:tcW w:w="8820" w:type="dxa"/>
            <w:vAlign w:val="bottom"/>
          </w:tcPr>
          <w:p>
            <w:pPr>
              <w:ind w:left="186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ARC</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Asset Retirement Cost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ARO</w:t>
            </w:r>
          </w:p>
        </w:tc>
        <w:tc>
          <w:tcPr>
            <w:tcW w:w="8820" w:type="dxa"/>
            <w:vAlign w:val="bottom"/>
          </w:tcPr>
          <w:p>
            <w:pPr>
              <w:ind w:left="1860"/>
              <w:spacing w:after="0"/>
              <w:rPr>
                <w:sz w:val="20"/>
                <w:szCs w:val="20"/>
                <w:color w:val="auto"/>
              </w:rPr>
            </w:pPr>
            <w:r>
              <w:rPr>
                <w:rFonts w:ascii="Arial" w:cs="Arial" w:eastAsia="Arial" w:hAnsi="Arial"/>
                <w:sz w:val="16"/>
                <w:szCs w:val="16"/>
                <w:color w:val="auto"/>
              </w:rPr>
              <w:t>Asset Retirement Obligation</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CAISO</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California ISO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CODM</w:t>
            </w:r>
          </w:p>
        </w:tc>
        <w:tc>
          <w:tcPr>
            <w:tcW w:w="8820" w:type="dxa"/>
            <w:vAlign w:val="bottom"/>
          </w:tcPr>
          <w:p>
            <w:pPr>
              <w:ind w:left="1860"/>
              <w:spacing w:after="0"/>
              <w:rPr>
                <w:sz w:val="20"/>
                <w:szCs w:val="20"/>
                <w:color w:val="auto"/>
              </w:rPr>
            </w:pPr>
            <w:r>
              <w:rPr>
                <w:rFonts w:ascii="Arial" w:cs="Arial" w:eastAsia="Arial" w:hAnsi="Arial"/>
                <w:sz w:val="16"/>
                <w:szCs w:val="16"/>
                <w:color w:val="auto"/>
              </w:rPr>
              <w:t>Chief Operating Decision Maker</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CMC</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Carbon Mitigation Credit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DOE</w:t>
            </w:r>
          </w:p>
        </w:tc>
        <w:tc>
          <w:tcPr>
            <w:tcW w:w="8820" w:type="dxa"/>
            <w:vAlign w:val="bottom"/>
          </w:tcPr>
          <w:p>
            <w:pPr>
              <w:ind w:left="1860"/>
              <w:spacing w:after="0"/>
              <w:rPr>
                <w:sz w:val="20"/>
                <w:szCs w:val="20"/>
                <w:color w:val="auto"/>
              </w:rPr>
            </w:pPr>
            <w:r>
              <w:rPr>
                <w:rFonts w:ascii="Arial" w:cs="Arial" w:eastAsia="Arial" w:hAnsi="Arial"/>
                <w:sz w:val="16"/>
                <w:szCs w:val="16"/>
                <w:color w:val="auto"/>
              </w:rPr>
              <w:t>United States Department of Energy</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DOJ</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United States Department of Justice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DPP</w:t>
            </w:r>
          </w:p>
        </w:tc>
        <w:tc>
          <w:tcPr>
            <w:tcW w:w="8820" w:type="dxa"/>
            <w:vAlign w:val="bottom"/>
          </w:tcPr>
          <w:p>
            <w:pPr>
              <w:ind w:left="1860"/>
              <w:spacing w:after="0"/>
              <w:rPr>
                <w:sz w:val="20"/>
                <w:szCs w:val="20"/>
                <w:color w:val="auto"/>
              </w:rPr>
            </w:pPr>
            <w:r>
              <w:rPr>
                <w:rFonts w:ascii="Arial" w:cs="Arial" w:eastAsia="Arial" w:hAnsi="Arial"/>
                <w:sz w:val="16"/>
                <w:szCs w:val="16"/>
                <w:color w:val="auto"/>
              </w:rPr>
              <w:t>Deferred Purchase Price</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EBITDA</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Earnings Before Interest, Tax, Depreciation and Amortization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EMA</w:t>
            </w:r>
          </w:p>
        </w:tc>
        <w:tc>
          <w:tcPr>
            <w:tcW w:w="8820" w:type="dxa"/>
            <w:vAlign w:val="bottom"/>
          </w:tcPr>
          <w:p>
            <w:pPr>
              <w:ind w:left="1860"/>
              <w:spacing w:after="0"/>
              <w:rPr>
                <w:sz w:val="20"/>
                <w:szCs w:val="20"/>
                <w:color w:val="auto"/>
              </w:rPr>
            </w:pPr>
            <w:r>
              <w:rPr>
                <w:rFonts w:ascii="Arial" w:cs="Arial" w:eastAsia="Arial" w:hAnsi="Arial"/>
                <w:sz w:val="16"/>
                <w:szCs w:val="16"/>
                <w:color w:val="auto"/>
              </w:rPr>
              <w:t>Employee Matters Agreement</w:t>
            </w:r>
          </w:p>
        </w:tc>
        <w:tc>
          <w:tcPr>
            <w:tcW w:w="0" w:type="dxa"/>
            <w:vAlign w:val="bottom"/>
          </w:tcPr>
          <w:p>
            <w:pPr>
              <w:spacing w:after="0"/>
              <w:rPr>
                <w:sz w:val="1"/>
                <w:szCs w:val="1"/>
                <w:color w:val="auto"/>
              </w:rPr>
            </w:pPr>
          </w:p>
        </w:tc>
      </w:tr>
      <w:tr>
        <w:trPr>
          <w:trHeight w:val="246"/>
        </w:trPr>
        <w:tc>
          <w:tcPr>
            <w:tcW w:w="2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EMT</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Everett Marine Terminal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EPA</w:t>
            </w:r>
          </w:p>
        </w:tc>
        <w:tc>
          <w:tcPr>
            <w:tcW w:w="8820" w:type="dxa"/>
            <w:vAlign w:val="bottom"/>
          </w:tcPr>
          <w:p>
            <w:pPr>
              <w:ind w:left="1860"/>
              <w:spacing w:after="0"/>
              <w:rPr>
                <w:sz w:val="20"/>
                <w:szCs w:val="20"/>
                <w:color w:val="auto"/>
              </w:rPr>
            </w:pPr>
            <w:r>
              <w:rPr>
                <w:rFonts w:ascii="Arial" w:cs="Arial" w:eastAsia="Arial" w:hAnsi="Arial"/>
                <w:sz w:val="16"/>
                <w:szCs w:val="16"/>
                <w:color w:val="auto"/>
              </w:rPr>
              <w:t>United States Environmental Protection Agency</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ERCOT</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Electric Reliability Council of Texas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ERISA</w:t>
            </w:r>
          </w:p>
        </w:tc>
        <w:tc>
          <w:tcPr>
            <w:tcW w:w="8820" w:type="dxa"/>
            <w:vAlign w:val="bottom"/>
          </w:tcPr>
          <w:p>
            <w:pPr>
              <w:ind w:left="1860"/>
              <w:spacing w:after="0"/>
              <w:rPr>
                <w:sz w:val="20"/>
                <w:szCs w:val="20"/>
                <w:color w:val="auto"/>
              </w:rPr>
            </w:pPr>
            <w:r>
              <w:rPr>
                <w:rFonts w:ascii="Arial" w:cs="Arial" w:eastAsia="Arial" w:hAnsi="Arial"/>
                <w:sz w:val="16"/>
                <w:szCs w:val="16"/>
                <w:color w:val="auto"/>
              </w:rPr>
              <w:t>Employee Retirement Income Security Act of 1974, as amended</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ERP</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Enterprise Resource Program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FERC</w:t>
            </w:r>
          </w:p>
        </w:tc>
        <w:tc>
          <w:tcPr>
            <w:tcW w:w="8820" w:type="dxa"/>
            <w:vAlign w:val="bottom"/>
          </w:tcPr>
          <w:p>
            <w:pPr>
              <w:ind w:left="1860"/>
              <w:spacing w:after="0"/>
              <w:rPr>
                <w:sz w:val="20"/>
                <w:szCs w:val="20"/>
                <w:color w:val="auto"/>
              </w:rPr>
            </w:pPr>
            <w:r>
              <w:rPr>
                <w:rFonts w:ascii="Arial" w:cs="Arial" w:eastAsia="Arial" w:hAnsi="Arial"/>
                <w:sz w:val="16"/>
                <w:szCs w:val="16"/>
                <w:color w:val="auto"/>
              </w:rPr>
              <w:t>Federal Energy Regulatory Commission</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Former PECO Units</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Limerick, Peach Bottom, and Salem nuclear generating units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Former ComEd Units</w:t>
            </w:r>
          </w:p>
        </w:tc>
        <w:tc>
          <w:tcPr>
            <w:tcW w:w="8820" w:type="dxa"/>
            <w:vAlign w:val="bottom"/>
          </w:tcPr>
          <w:p>
            <w:pPr>
              <w:ind w:left="1860"/>
              <w:spacing w:after="0"/>
              <w:rPr>
                <w:sz w:val="20"/>
                <w:szCs w:val="20"/>
                <w:color w:val="auto"/>
              </w:rPr>
            </w:pPr>
            <w:r>
              <w:rPr>
                <w:rFonts w:ascii="Arial" w:cs="Arial" w:eastAsia="Arial" w:hAnsi="Arial"/>
                <w:sz w:val="16"/>
                <w:szCs w:val="16"/>
                <w:color w:val="auto"/>
              </w:rPr>
              <w:t>Braidwood, Byron, Dresden, LaSalle and Quad Cities nuclear generating units</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FRCC</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Florida Reliability Coordinating Council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GAAP</w:t>
            </w:r>
          </w:p>
        </w:tc>
        <w:tc>
          <w:tcPr>
            <w:tcW w:w="8820" w:type="dxa"/>
            <w:vAlign w:val="bottom"/>
          </w:tcPr>
          <w:p>
            <w:pPr>
              <w:ind w:left="1860"/>
              <w:spacing w:after="0"/>
              <w:rPr>
                <w:sz w:val="20"/>
                <w:szCs w:val="20"/>
                <w:color w:val="auto"/>
              </w:rPr>
            </w:pPr>
            <w:r>
              <w:rPr>
                <w:rFonts w:ascii="Arial" w:cs="Arial" w:eastAsia="Arial" w:hAnsi="Arial"/>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GWh</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Gigawatt hour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ICE</w:t>
            </w:r>
          </w:p>
        </w:tc>
        <w:tc>
          <w:tcPr>
            <w:tcW w:w="8820" w:type="dxa"/>
            <w:vAlign w:val="bottom"/>
          </w:tcPr>
          <w:p>
            <w:pPr>
              <w:ind w:left="1860"/>
              <w:spacing w:after="0"/>
              <w:rPr>
                <w:sz w:val="20"/>
                <w:szCs w:val="20"/>
                <w:color w:val="auto"/>
              </w:rPr>
            </w:pPr>
            <w:r>
              <w:rPr>
                <w:rFonts w:ascii="Arial" w:cs="Arial" w:eastAsia="Arial" w:hAnsi="Arial"/>
                <w:sz w:val="16"/>
                <w:szCs w:val="16"/>
                <w:color w:val="auto"/>
              </w:rPr>
              <w:t>Intercontinental Exchange</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IPA</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Illinois Power Agency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IRS</w:t>
            </w:r>
          </w:p>
        </w:tc>
        <w:tc>
          <w:tcPr>
            <w:tcW w:w="8820" w:type="dxa"/>
            <w:vAlign w:val="bottom"/>
          </w:tcPr>
          <w:p>
            <w:pPr>
              <w:ind w:left="186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ISO</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Independent System Operator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ISO-NE</w:t>
            </w:r>
          </w:p>
        </w:tc>
        <w:tc>
          <w:tcPr>
            <w:tcW w:w="8820" w:type="dxa"/>
            <w:vAlign w:val="bottom"/>
          </w:tcPr>
          <w:p>
            <w:pPr>
              <w:ind w:left="1860"/>
              <w:spacing w:after="0"/>
              <w:rPr>
                <w:sz w:val="20"/>
                <w:szCs w:val="20"/>
                <w:color w:val="auto"/>
              </w:rPr>
            </w:pPr>
            <w:r>
              <w:rPr>
                <w:rFonts w:ascii="Arial" w:cs="Arial" w:eastAsia="Arial" w:hAnsi="Arial"/>
                <w:sz w:val="16"/>
                <w:szCs w:val="16"/>
                <w:color w:val="auto"/>
              </w:rPr>
              <w:t>ISO New England Inc.</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ITC</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Investment Tax Credit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LIBOR</w:t>
            </w:r>
          </w:p>
        </w:tc>
        <w:tc>
          <w:tcPr>
            <w:tcW w:w="8820" w:type="dxa"/>
            <w:vAlign w:val="bottom"/>
          </w:tcPr>
          <w:p>
            <w:pPr>
              <w:ind w:left="186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MDE</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Maryland Department of the Environment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MISO</w:t>
            </w:r>
          </w:p>
        </w:tc>
        <w:tc>
          <w:tcPr>
            <w:tcW w:w="8820" w:type="dxa"/>
            <w:vAlign w:val="bottom"/>
          </w:tcPr>
          <w:p>
            <w:pPr>
              <w:ind w:left="1860"/>
              <w:spacing w:after="0"/>
              <w:rPr>
                <w:sz w:val="20"/>
                <w:szCs w:val="20"/>
                <w:color w:val="auto"/>
              </w:rPr>
            </w:pPr>
            <w:r>
              <w:rPr>
                <w:rFonts w:ascii="Arial" w:cs="Arial" w:eastAsia="Arial" w:hAnsi="Arial"/>
                <w:sz w:val="16"/>
                <w:szCs w:val="16"/>
                <w:color w:val="auto"/>
              </w:rPr>
              <w:t>Midcontinent Independent System Operator, Inc.</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MW</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Megawatt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MWh</w:t>
            </w:r>
          </w:p>
        </w:tc>
        <w:tc>
          <w:tcPr>
            <w:tcW w:w="8820" w:type="dxa"/>
            <w:vAlign w:val="bottom"/>
          </w:tcPr>
          <w:p>
            <w:pPr>
              <w:ind w:left="1860"/>
              <w:spacing w:after="0"/>
              <w:rPr>
                <w:sz w:val="20"/>
                <w:szCs w:val="20"/>
                <w:color w:val="auto"/>
              </w:rPr>
            </w:pPr>
            <w:r>
              <w:rPr>
                <w:rFonts w:ascii="Arial" w:cs="Arial" w:eastAsia="Arial" w:hAnsi="Arial"/>
                <w:sz w:val="16"/>
                <w:szCs w:val="16"/>
                <w:color w:val="auto"/>
              </w:rPr>
              <w:t>Megawatt hour</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NAV</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Net Asset Value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NASDAQ</w:t>
            </w:r>
          </w:p>
        </w:tc>
        <w:tc>
          <w:tcPr>
            <w:tcW w:w="8820" w:type="dxa"/>
            <w:vAlign w:val="bottom"/>
          </w:tcPr>
          <w:p>
            <w:pPr>
              <w:ind w:left="1860"/>
              <w:spacing w:after="0"/>
              <w:rPr>
                <w:sz w:val="20"/>
                <w:szCs w:val="20"/>
                <w:color w:val="auto"/>
              </w:rPr>
            </w:pPr>
            <w:r>
              <w:rPr>
                <w:rFonts w:ascii="Arial" w:cs="Arial" w:eastAsia="Arial" w:hAnsi="Arial"/>
                <w:sz w:val="16"/>
                <w:szCs w:val="16"/>
                <w:color w:val="auto"/>
              </w:rPr>
              <w:t>Nasdaq Stock Market, Inc.</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NDT</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Nuclear Decommissioning 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NERC</w:t>
            </w:r>
          </w:p>
        </w:tc>
        <w:tc>
          <w:tcPr>
            <w:tcW w:w="8820" w:type="dxa"/>
            <w:vAlign w:val="bottom"/>
          </w:tcPr>
          <w:p>
            <w:pPr>
              <w:ind w:left="1860"/>
              <w:spacing w:after="0"/>
              <w:rPr>
                <w:sz w:val="20"/>
                <w:szCs w:val="20"/>
                <w:color w:val="auto"/>
              </w:rPr>
            </w:pPr>
            <w:r>
              <w:rPr>
                <w:rFonts w:ascii="Arial" w:cs="Arial" w:eastAsia="Arial" w:hAnsi="Arial"/>
                <w:sz w:val="16"/>
                <w:szCs w:val="16"/>
                <w:color w:val="auto"/>
              </w:rPr>
              <w:t>North American Electric Reliability Corporation</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NGX</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Natural Gas Exchange, Inc.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00" w:type="dxa"/>
            <w:vAlign w:val="bottom"/>
          </w:tcPr>
          <w:p>
            <w:pPr>
              <w:spacing w:after="0" w:line="165" w:lineRule="exact"/>
              <w:rPr>
                <w:sz w:val="20"/>
                <w:szCs w:val="20"/>
                <w:color w:val="auto"/>
              </w:rPr>
            </w:pPr>
            <w:r>
              <w:rPr>
                <w:rFonts w:ascii="Arial" w:cs="Arial" w:eastAsia="Arial" w:hAnsi="Arial"/>
                <w:sz w:val="16"/>
                <w:szCs w:val="16"/>
                <w:i w:val="1"/>
                <w:iCs w:val="1"/>
                <w:color w:val="auto"/>
              </w:rPr>
              <w:t>Non-Regulatory Agreement Units</w:t>
            </w:r>
          </w:p>
        </w:tc>
        <w:tc>
          <w:tcPr>
            <w:tcW w:w="8820" w:type="dxa"/>
            <w:vAlign w:val="bottom"/>
          </w:tcPr>
          <w:p>
            <w:pPr>
              <w:ind w:left="1860"/>
              <w:spacing w:after="0" w:line="165" w:lineRule="exact"/>
              <w:rPr>
                <w:sz w:val="20"/>
                <w:szCs w:val="20"/>
                <w:color w:val="auto"/>
              </w:rPr>
            </w:pPr>
            <w:r>
              <w:rPr>
                <w:rFonts w:ascii="Arial" w:cs="Arial" w:eastAsia="Arial" w:hAnsi="Arial"/>
                <w:sz w:val="16"/>
                <w:szCs w:val="16"/>
                <w:color w:val="auto"/>
              </w:rPr>
              <w:t>Nuclear generating units or portions thereof whose decommissioning-related activities are not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20" w:type="dxa"/>
            <w:vAlign w:val="bottom"/>
          </w:tcPr>
          <w:p>
            <w:pPr>
              <w:ind w:left="1860"/>
              <w:spacing w:after="0"/>
              <w:rPr>
                <w:sz w:val="20"/>
                <w:szCs w:val="20"/>
                <w:color w:val="auto"/>
              </w:rPr>
            </w:pPr>
            <w:r>
              <w:rPr>
                <w:rFonts w:ascii="Arial" w:cs="Arial" w:eastAsia="Arial" w:hAnsi="Arial"/>
                <w:sz w:val="16"/>
                <w:szCs w:val="16"/>
                <w:color w:val="auto"/>
              </w:rPr>
              <w:t>subject to contractual elimination under regulatory accounting</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NPNS</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Normal Purchase Normal Sale scope exception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i w:val="1"/>
                <w:iCs w:val="1"/>
                <w:color w:val="auto"/>
              </w:rPr>
              <w:t>NRC</w:t>
            </w:r>
          </w:p>
        </w:tc>
        <w:tc>
          <w:tcPr>
            <w:tcW w:w="8820" w:type="dxa"/>
            <w:vAlign w:val="bottom"/>
          </w:tcPr>
          <w:p>
            <w:pPr>
              <w:ind w:left="1860"/>
              <w:spacing w:after="0"/>
              <w:rPr>
                <w:sz w:val="20"/>
                <w:szCs w:val="20"/>
                <w:color w:val="auto"/>
              </w:rPr>
            </w:pPr>
            <w:r>
              <w:rPr>
                <w:rFonts w:ascii="Arial" w:cs="Arial" w:eastAsia="Arial" w:hAnsi="Arial"/>
                <w:sz w:val="16"/>
                <w:szCs w:val="16"/>
                <w:color w:val="auto"/>
              </w:rPr>
              <w:t>Nuclear Regulatory Commission</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NYISO</w:t>
            </w:r>
          </w:p>
        </w:tc>
        <w:tc>
          <w:tcPr>
            <w:tcW w:w="882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New York ISO</w:t>
            </w: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836"/>
        </w:trPr>
        <w:tc>
          <w:tcPr>
            <w:tcW w:w="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NYMEX</w:t>
            </w:r>
          </w:p>
        </w:tc>
        <w:tc>
          <w:tcPr>
            <w:tcW w:w="7620" w:type="dxa"/>
            <w:vAlign w:val="bottom"/>
          </w:tcPr>
          <w:p>
            <w:pPr>
              <w:ind w:left="660"/>
              <w:spacing w:after="0"/>
              <w:rPr>
                <w:sz w:val="20"/>
                <w:szCs w:val="20"/>
                <w:color w:val="auto"/>
              </w:rPr>
            </w:pPr>
            <w:r>
              <w:rPr>
                <w:rFonts w:ascii="Arial" w:cs="Arial" w:eastAsia="Arial" w:hAnsi="Arial"/>
                <w:sz w:val="16"/>
                <w:szCs w:val="16"/>
                <w:color w:val="auto"/>
              </w:rPr>
              <w:t>New York Mercantile Exchange</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NYPSC</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New York Public Service Commission</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OCI</w:t>
            </w:r>
          </w:p>
        </w:tc>
        <w:tc>
          <w:tcPr>
            <w:tcW w:w="7620" w:type="dxa"/>
            <w:vAlign w:val="bottom"/>
          </w:tcPr>
          <w:p>
            <w:pPr>
              <w:ind w:left="660"/>
              <w:spacing w:after="0"/>
              <w:rPr>
                <w:sz w:val="20"/>
                <w:szCs w:val="20"/>
                <w:color w:val="auto"/>
              </w:rPr>
            </w:pPr>
            <w:r>
              <w:rPr>
                <w:rFonts w:ascii="Arial" w:cs="Arial" w:eastAsia="Arial" w:hAnsi="Arial"/>
                <w:sz w:val="16"/>
                <w:szCs w:val="16"/>
                <w:color w:val="auto"/>
              </w:rPr>
              <w:t>Other Comprehensive Income</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OIESO</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Ontario Independent Electricity System Operator</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OPEB</w:t>
            </w:r>
          </w:p>
        </w:tc>
        <w:tc>
          <w:tcPr>
            <w:tcW w:w="7620" w:type="dxa"/>
            <w:vAlign w:val="bottom"/>
          </w:tcPr>
          <w:p>
            <w:pPr>
              <w:ind w:left="660"/>
              <w:spacing w:after="0"/>
              <w:rPr>
                <w:sz w:val="20"/>
                <w:szCs w:val="20"/>
                <w:color w:val="auto"/>
              </w:rPr>
            </w:pPr>
            <w:r>
              <w:rPr>
                <w:rFonts w:ascii="Arial" w:cs="Arial" w:eastAsia="Arial" w:hAnsi="Arial"/>
                <w:sz w:val="16"/>
                <w:szCs w:val="16"/>
                <w:color w:val="auto"/>
              </w:rPr>
              <w:t>Other Postretirement Employee Benefits</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PAPUC</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Pennsylvania Public Utility Commission</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PG&amp;E</w:t>
            </w:r>
          </w:p>
        </w:tc>
        <w:tc>
          <w:tcPr>
            <w:tcW w:w="7620" w:type="dxa"/>
            <w:vAlign w:val="bottom"/>
          </w:tcPr>
          <w:p>
            <w:pPr>
              <w:ind w:left="660"/>
              <w:spacing w:after="0"/>
              <w:rPr>
                <w:sz w:val="20"/>
                <w:szCs w:val="20"/>
                <w:color w:val="auto"/>
              </w:rPr>
            </w:pPr>
            <w:r>
              <w:rPr>
                <w:rFonts w:ascii="Arial" w:cs="Arial" w:eastAsia="Arial" w:hAnsi="Arial"/>
                <w:sz w:val="16"/>
                <w:szCs w:val="16"/>
                <w:color w:val="auto"/>
              </w:rPr>
              <w:t>Pacific Gas and Electric Company</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PJM</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PJM Interconnection, LLC</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PPA</w:t>
            </w:r>
          </w:p>
        </w:tc>
        <w:tc>
          <w:tcPr>
            <w:tcW w:w="7620" w:type="dxa"/>
            <w:vAlign w:val="bottom"/>
          </w:tcPr>
          <w:p>
            <w:pPr>
              <w:ind w:left="660"/>
              <w:spacing w:after="0"/>
              <w:rPr>
                <w:sz w:val="20"/>
                <w:szCs w:val="20"/>
                <w:color w:val="auto"/>
              </w:rPr>
            </w:pPr>
            <w:r>
              <w:rPr>
                <w:rFonts w:ascii="Arial" w:cs="Arial" w:eastAsia="Arial" w:hAnsi="Arial"/>
                <w:sz w:val="16"/>
                <w:szCs w:val="16"/>
                <w:color w:val="auto"/>
              </w:rPr>
              <w:t>Power Purchase Agreement</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PP&amp;E</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Property, Plant, and Equipment</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PRP</w:t>
            </w:r>
          </w:p>
        </w:tc>
        <w:tc>
          <w:tcPr>
            <w:tcW w:w="7620" w:type="dxa"/>
            <w:vAlign w:val="bottom"/>
          </w:tcPr>
          <w:p>
            <w:pPr>
              <w:ind w:left="660"/>
              <w:spacing w:after="0"/>
              <w:rPr>
                <w:sz w:val="20"/>
                <w:szCs w:val="20"/>
                <w:color w:val="auto"/>
              </w:rPr>
            </w:pPr>
            <w:r>
              <w:rPr>
                <w:rFonts w:ascii="Arial" w:cs="Arial" w:eastAsia="Arial" w:hAnsi="Arial"/>
                <w:sz w:val="16"/>
                <w:szCs w:val="16"/>
                <w:color w:val="auto"/>
              </w:rPr>
              <w:t>Potentially Responsible Parties</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PSDAR</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Post-shutdown Decommissioning Activities Report</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PSEG</w:t>
            </w:r>
          </w:p>
        </w:tc>
        <w:tc>
          <w:tcPr>
            <w:tcW w:w="7620" w:type="dxa"/>
            <w:vAlign w:val="bottom"/>
          </w:tcPr>
          <w:p>
            <w:pPr>
              <w:ind w:left="660"/>
              <w:spacing w:after="0"/>
              <w:rPr>
                <w:sz w:val="20"/>
                <w:szCs w:val="20"/>
                <w:color w:val="auto"/>
              </w:rPr>
            </w:pPr>
            <w:r>
              <w:rPr>
                <w:rFonts w:ascii="Arial" w:cs="Arial" w:eastAsia="Arial" w:hAnsi="Arial"/>
                <w:sz w:val="16"/>
                <w:szCs w:val="16"/>
                <w:color w:val="auto"/>
              </w:rPr>
              <w:t>Public Service Enterprise Group Incorporated</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PTC</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Production Tax Credit</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PUCT</w:t>
            </w:r>
          </w:p>
        </w:tc>
        <w:tc>
          <w:tcPr>
            <w:tcW w:w="7620" w:type="dxa"/>
            <w:vAlign w:val="bottom"/>
          </w:tcPr>
          <w:p>
            <w:pPr>
              <w:ind w:left="660"/>
              <w:spacing w:after="0"/>
              <w:rPr>
                <w:sz w:val="20"/>
                <w:szCs w:val="20"/>
                <w:color w:val="auto"/>
              </w:rPr>
            </w:pPr>
            <w:r>
              <w:rPr>
                <w:rFonts w:ascii="Arial" w:cs="Arial" w:eastAsia="Arial" w:hAnsi="Arial"/>
                <w:sz w:val="16"/>
                <w:szCs w:val="16"/>
                <w:color w:val="auto"/>
              </w:rPr>
              <w:t>Public Utility Commission of Texas</w:t>
            </w:r>
          </w:p>
        </w:tc>
      </w:tr>
      <w:tr>
        <w:trPr>
          <w:trHeight w:val="168"/>
        </w:trPr>
        <w:tc>
          <w:tcPr>
            <w:tcW w:w="36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i w:val="1"/>
                <w:iCs w:val="1"/>
                <w:color w:val="auto"/>
              </w:rPr>
              <w:t>REC</w:t>
            </w:r>
          </w:p>
        </w:tc>
        <w:tc>
          <w:tcPr>
            <w:tcW w:w="7620" w:type="dxa"/>
            <w:vAlign w:val="bottom"/>
            <w:shd w:val="clear" w:color="auto" w:fill="CCEEFF"/>
          </w:tcPr>
          <w:p>
            <w:pPr>
              <w:ind w:left="660"/>
              <w:spacing w:after="0" w:line="168" w:lineRule="exact"/>
              <w:rPr>
                <w:sz w:val="20"/>
                <w:szCs w:val="20"/>
                <w:color w:val="auto"/>
              </w:rPr>
            </w:pPr>
            <w:r>
              <w:rPr>
                <w:rFonts w:ascii="Arial" w:cs="Arial" w:eastAsia="Arial" w:hAnsi="Arial"/>
                <w:sz w:val="16"/>
                <w:szCs w:val="16"/>
                <w:color w:val="auto"/>
              </w:rPr>
              <w:t>Renewable Energy Credit which is issued for each megawatt hour of generation from a qualified</w:t>
            </w:r>
          </w:p>
        </w:tc>
      </w:tr>
      <w:tr>
        <w:trPr>
          <w:trHeight w:val="213"/>
        </w:trPr>
        <w:tc>
          <w:tcPr>
            <w:tcW w:w="3620" w:type="dxa"/>
            <w:vAlign w:val="bottom"/>
            <w:shd w:val="clear" w:color="auto" w:fill="CCEEFF"/>
          </w:tcPr>
          <w:p>
            <w:pPr>
              <w:spacing w:after="0"/>
              <w:rPr>
                <w:sz w:val="18"/>
                <w:szCs w:val="18"/>
                <w:color w:val="auto"/>
              </w:rPr>
            </w:pP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renewable energy source</w:t>
            </w:r>
          </w:p>
        </w:tc>
      </w:tr>
      <w:tr>
        <w:trPr>
          <w:trHeight w:val="165"/>
        </w:trPr>
        <w:tc>
          <w:tcPr>
            <w:tcW w:w="3620" w:type="dxa"/>
            <w:vAlign w:val="bottom"/>
          </w:tcPr>
          <w:p>
            <w:pPr>
              <w:ind w:left="20"/>
              <w:spacing w:after="0" w:line="165" w:lineRule="exact"/>
              <w:rPr>
                <w:sz w:val="20"/>
                <w:szCs w:val="20"/>
                <w:color w:val="auto"/>
              </w:rPr>
            </w:pPr>
            <w:r>
              <w:rPr>
                <w:rFonts w:ascii="Arial" w:cs="Arial" w:eastAsia="Arial" w:hAnsi="Arial"/>
                <w:sz w:val="16"/>
                <w:szCs w:val="16"/>
                <w:i w:val="1"/>
                <w:iCs w:val="1"/>
                <w:color w:val="auto"/>
              </w:rPr>
              <w:t>Regulatory Agreement Units</w:t>
            </w:r>
          </w:p>
        </w:tc>
        <w:tc>
          <w:tcPr>
            <w:tcW w:w="7620" w:type="dxa"/>
            <w:vAlign w:val="bottom"/>
          </w:tcPr>
          <w:p>
            <w:pPr>
              <w:ind w:left="660"/>
              <w:spacing w:after="0" w:line="165" w:lineRule="exact"/>
              <w:rPr>
                <w:sz w:val="20"/>
                <w:szCs w:val="20"/>
                <w:color w:val="auto"/>
              </w:rPr>
            </w:pPr>
            <w:r>
              <w:rPr>
                <w:rFonts w:ascii="Arial" w:cs="Arial" w:eastAsia="Arial" w:hAnsi="Arial"/>
                <w:sz w:val="16"/>
                <w:szCs w:val="16"/>
                <w:color w:val="auto"/>
              </w:rPr>
              <w:t>Nuclear generating units or portions thereof whose decommissioning-related activities are</w:t>
            </w:r>
          </w:p>
        </w:tc>
      </w:tr>
      <w:tr>
        <w:trPr>
          <w:trHeight w:val="162"/>
        </w:trPr>
        <w:tc>
          <w:tcPr>
            <w:tcW w:w="3620" w:type="dxa"/>
            <w:vAlign w:val="bottom"/>
          </w:tcPr>
          <w:p>
            <w:pPr>
              <w:spacing w:after="0"/>
              <w:rPr>
                <w:sz w:val="14"/>
                <w:szCs w:val="14"/>
                <w:color w:val="auto"/>
              </w:rPr>
            </w:pPr>
          </w:p>
        </w:tc>
        <w:tc>
          <w:tcPr>
            <w:tcW w:w="7620" w:type="dxa"/>
            <w:vAlign w:val="bottom"/>
          </w:tcPr>
          <w:p>
            <w:pPr>
              <w:ind w:left="660"/>
              <w:spacing w:after="0" w:line="162" w:lineRule="exact"/>
              <w:rPr>
                <w:sz w:val="20"/>
                <w:szCs w:val="20"/>
                <w:color w:val="auto"/>
              </w:rPr>
            </w:pPr>
            <w:r>
              <w:rPr>
                <w:rFonts w:ascii="Arial" w:cs="Arial" w:eastAsia="Arial" w:hAnsi="Arial"/>
                <w:sz w:val="16"/>
                <w:szCs w:val="16"/>
                <w:color w:val="auto"/>
              </w:rPr>
              <w:t>subject to contractual elimination under regulatory accounting (includes the Former ComEd units</w:t>
            </w:r>
          </w:p>
        </w:tc>
      </w:tr>
      <w:tr>
        <w:trPr>
          <w:trHeight w:val="210"/>
        </w:trPr>
        <w:tc>
          <w:tcPr>
            <w:tcW w:w="3620" w:type="dxa"/>
            <w:vAlign w:val="bottom"/>
          </w:tcPr>
          <w:p>
            <w:pPr>
              <w:spacing w:after="0"/>
              <w:rPr>
                <w:sz w:val="18"/>
                <w:szCs w:val="18"/>
                <w:color w:val="auto"/>
              </w:rPr>
            </w:pPr>
          </w:p>
        </w:tc>
        <w:tc>
          <w:tcPr>
            <w:tcW w:w="7620" w:type="dxa"/>
            <w:vAlign w:val="bottom"/>
          </w:tcPr>
          <w:p>
            <w:pPr>
              <w:ind w:left="660"/>
              <w:spacing w:after="0"/>
              <w:rPr>
                <w:sz w:val="20"/>
                <w:szCs w:val="20"/>
                <w:color w:val="auto"/>
              </w:rPr>
            </w:pPr>
            <w:r>
              <w:rPr>
                <w:rFonts w:ascii="Arial" w:cs="Arial" w:eastAsia="Arial" w:hAnsi="Arial"/>
                <w:sz w:val="16"/>
                <w:szCs w:val="16"/>
                <w:color w:val="auto"/>
              </w:rPr>
              <w:t>and the Former PECO units)</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RMC</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Risk Management Committee</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RNF</w:t>
            </w:r>
          </w:p>
        </w:tc>
        <w:tc>
          <w:tcPr>
            <w:tcW w:w="7620" w:type="dxa"/>
            <w:vAlign w:val="bottom"/>
          </w:tcPr>
          <w:p>
            <w:pPr>
              <w:ind w:left="660"/>
              <w:spacing w:after="0"/>
              <w:rPr>
                <w:sz w:val="20"/>
                <w:szCs w:val="20"/>
                <w:color w:val="auto"/>
              </w:rPr>
            </w:pPr>
            <w:r>
              <w:rPr>
                <w:rFonts w:ascii="Arial" w:cs="Arial" w:eastAsia="Arial" w:hAnsi="Arial"/>
                <w:sz w:val="16"/>
                <w:szCs w:val="16"/>
                <w:color w:val="auto"/>
              </w:rPr>
              <w:t>Operating Revenues Net of Purchased Power and Fuel Expense</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ROU</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Right-of-use</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RTO</w:t>
            </w:r>
          </w:p>
        </w:tc>
        <w:tc>
          <w:tcPr>
            <w:tcW w:w="7620" w:type="dxa"/>
            <w:vAlign w:val="bottom"/>
          </w:tcPr>
          <w:p>
            <w:pPr>
              <w:ind w:left="660"/>
              <w:spacing w:after="0"/>
              <w:rPr>
                <w:sz w:val="20"/>
                <w:szCs w:val="20"/>
                <w:color w:val="auto"/>
              </w:rPr>
            </w:pPr>
            <w:r>
              <w:rPr>
                <w:rFonts w:ascii="Arial" w:cs="Arial" w:eastAsia="Arial" w:hAnsi="Arial"/>
                <w:sz w:val="16"/>
                <w:szCs w:val="16"/>
                <w:color w:val="auto"/>
              </w:rPr>
              <w:t>Regional Transmission Organization</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S&amp;P</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Standard &amp; Poor’s Ratings Services</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SEC</w:t>
            </w:r>
          </w:p>
        </w:tc>
        <w:tc>
          <w:tcPr>
            <w:tcW w:w="7620" w:type="dxa"/>
            <w:vAlign w:val="bottom"/>
          </w:tcPr>
          <w:p>
            <w:pPr>
              <w:ind w:left="660"/>
              <w:spacing w:after="0"/>
              <w:rPr>
                <w:sz w:val="20"/>
                <w:szCs w:val="20"/>
                <w:color w:val="auto"/>
              </w:rPr>
            </w:pPr>
            <w:r>
              <w:rPr>
                <w:rFonts w:ascii="Arial" w:cs="Arial" w:eastAsia="Arial" w:hAnsi="Arial"/>
                <w:sz w:val="16"/>
                <w:szCs w:val="16"/>
                <w:color w:val="auto"/>
              </w:rPr>
              <w:t>United States Securities and Exchange Commission</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SERC</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SERC Reliability Corporation</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SNF</w:t>
            </w:r>
          </w:p>
        </w:tc>
        <w:tc>
          <w:tcPr>
            <w:tcW w:w="7620" w:type="dxa"/>
            <w:vAlign w:val="bottom"/>
          </w:tcPr>
          <w:p>
            <w:pPr>
              <w:ind w:left="660"/>
              <w:spacing w:after="0"/>
              <w:rPr>
                <w:sz w:val="20"/>
                <w:szCs w:val="20"/>
                <w:color w:val="auto"/>
              </w:rPr>
            </w:pPr>
            <w:r>
              <w:rPr>
                <w:rFonts w:ascii="Arial" w:cs="Arial" w:eastAsia="Arial" w:hAnsi="Arial"/>
                <w:sz w:val="16"/>
                <w:szCs w:val="16"/>
                <w:color w:val="auto"/>
              </w:rPr>
              <w:t>Spent Nuclear Fuel</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SOFR</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Secured Overnight Financing Rate</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SPP</w:t>
            </w:r>
          </w:p>
        </w:tc>
        <w:tc>
          <w:tcPr>
            <w:tcW w:w="7620" w:type="dxa"/>
            <w:vAlign w:val="bottom"/>
          </w:tcPr>
          <w:p>
            <w:pPr>
              <w:ind w:left="660"/>
              <w:spacing w:after="0"/>
              <w:rPr>
                <w:sz w:val="20"/>
                <w:szCs w:val="20"/>
                <w:color w:val="auto"/>
              </w:rPr>
            </w:pPr>
            <w:r>
              <w:rPr>
                <w:rFonts w:ascii="Arial" w:cs="Arial" w:eastAsia="Arial" w:hAnsi="Arial"/>
                <w:sz w:val="16"/>
                <w:szCs w:val="16"/>
                <w:color w:val="auto"/>
              </w:rPr>
              <w:t>Southwest Power Pool</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TMA</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Tax Matters Agreement</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TSA</w:t>
            </w:r>
          </w:p>
        </w:tc>
        <w:tc>
          <w:tcPr>
            <w:tcW w:w="7620" w:type="dxa"/>
            <w:vAlign w:val="bottom"/>
          </w:tcPr>
          <w:p>
            <w:pPr>
              <w:ind w:left="660"/>
              <w:spacing w:after="0"/>
              <w:rPr>
                <w:sz w:val="20"/>
                <w:szCs w:val="20"/>
                <w:color w:val="auto"/>
              </w:rPr>
            </w:pPr>
            <w:r>
              <w:rPr>
                <w:rFonts w:ascii="Arial" w:cs="Arial" w:eastAsia="Arial" w:hAnsi="Arial"/>
                <w:sz w:val="16"/>
                <w:szCs w:val="16"/>
                <w:color w:val="auto"/>
              </w:rPr>
              <w:t>Transition Services Agreement</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U.S. Court of Appeals for the D.C. Circuit</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United States Court of Appeals for the District of Columbia Circuit</w:t>
            </w: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VIE</w:t>
            </w:r>
          </w:p>
        </w:tc>
        <w:tc>
          <w:tcPr>
            <w:tcW w:w="7620" w:type="dxa"/>
            <w:vAlign w:val="bottom"/>
          </w:tcPr>
          <w:p>
            <w:pPr>
              <w:ind w:left="660"/>
              <w:spacing w:after="0"/>
              <w:rPr>
                <w:sz w:val="20"/>
                <w:szCs w:val="20"/>
                <w:color w:val="auto"/>
              </w:rPr>
            </w:pPr>
            <w:r>
              <w:rPr>
                <w:rFonts w:ascii="Arial" w:cs="Arial" w:eastAsia="Arial" w:hAnsi="Arial"/>
                <w:sz w:val="16"/>
                <w:szCs w:val="16"/>
                <w:color w:val="auto"/>
              </w:rPr>
              <w:t>Variable Interest Entity</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WECC</w:t>
            </w:r>
          </w:p>
        </w:tc>
        <w:tc>
          <w:tcPr>
            <w:tcW w:w="76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Western Electric Coordinating Council</w:t>
            </w:r>
          </w:p>
        </w:tc>
      </w:tr>
      <w:tr>
        <w:trPr>
          <w:trHeight w:val="211"/>
        </w:trPr>
        <w:tc>
          <w:tcPr>
            <w:tcW w:w="3620" w:type="dxa"/>
            <w:vAlign w:val="bottom"/>
          </w:tcPr>
          <w:p>
            <w:pPr>
              <w:ind w:left="20"/>
              <w:spacing w:after="0"/>
              <w:rPr>
                <w:sz w:val="20"/>
                <w:szCs w:val="20"/>
                <w:color w:val="auto"/>
              </w:rPr>
            </w:pPr>
            <w:r>
              <w:rPr>
                <w:rFonts w:ascii="Arial" w:cs="Arial" w:eastAsia="Arial" w:hAnsi="Arial"/>
                <w:sz w:val="16"/>
                <w:szCs w:val="16"/>
                <w:i w:val="1"/>
                <w:iCs w:val="1"/>
                <w:color w:val="auto"/>
              </w:rPr>
              <w:t>ZEC</w:t>
            </w:r>
          </w:p>
        </w:tc>
        <w:tc>
          <w:tcPr>
            <w:tcW w:w="7620" w:type="dxa"/>
            <w:vAlign w:val="bottom"/>
          </w:tcPr>
          <w:p>
            <w:pPr>
              <w:ind w:left="660"/>
              <w:spacing w:after="0"/>
              <w:rPr>
                <w:sz w:val="20"/>
                <w:szCs w:val="20"/>
                <w:color w:val="auto"/>
              </w:rPr>
            </w:pPr>
            <w:r>
              <w:rPr>
                <w:rFonts w:ascii="Arial" w:cs="Arial" w:eastAsia="Arial" w:hAnsi="Arial"/>
                <w:sz w:val="16"/>
                <w:szCs w:val="16"/>
                <w:color w:val="auto"/>
              </w:rPr>
              <w:t>Zero Emission Credit</w:t>
            </w:r>
          </w:p>
        </w:tc>
      </w:tr>
      <w:tr>
        <w:trPr>
          <w:trHeight w:val="823"/>
        </w:trPr>
        <w:tc>
          <w:tcPr>
            <w:tcW w:w="3620" w:type="dxa"/>
            <w:vAlign w:val="bottom"/>
          </w:tcPr>
          <w:p>
            <w:pPr>
              <w:spacing w:after="0"/>
              <w:rPr>
                <w:sz w:val="24"/>
                <w:szCs w:val="24"/>
                <w:color w:val="auto"/>
              </w:rPr>
            </w:pPr>
          </w:p>
        </w:tc>
        <w:tc>
          <w:tcPr>
            <w:tcW w:w="7620" w:type="dxa"/>
            <w:vAlign w:val="bottom"/>
          </w:tcPr>
          <w:p>
            <w:pPr>
              <w:ind w:left="1960"/>
              <w:spacing w:after="0"/>
              <w:rPr>
                <w:sz w:val="20"/>
                <w:szCs w:val="20"/>
                <w:color w:val="auto"/>
              </w:rPr>
            </w:pPr>
            <w:r>
              <w:rPr>
                <w:rFonts w:ascii="Arial" w:cs="Arial" w:eastAsia="Arial" w:hAnsi="Arial"/>
                <w:sz w:val="16"/>
                <w:szCs w:val="16"/>
                <w:color w:val="auto"/>
              </w:rPr>
              <w:t>3</w:t>
            </w:r>
          </w:p>
        </w:tc>
      </w:tr>
      <w:tr>
        <w:trPr>
          <w:trHeight w:val="850"/>
        </w:trPr>
        <w:tc>
          <w:tcPr>
            <w:tcW w:w="362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FILING FORMAT</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combined Form 10-Q is being filed separately by Constellation Energy Corporation and Constellation Energy Generation, LLC, (Registrants). Information contained herein relating to any individual Registrant is filed by the Registrant on its own behalf. Neither Registrant makes any representation as to information relating to the other Registrant.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STATEMENTS REGARDING FORWARD-LOOKING INFORMATION</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factors that could cause actual results to differ materially from the forward-looking statements made by us include those factors discussed herein, as well as the items discussed in (1) the Registrants' combined 2022 Annual Report on Form 10-K in (a) Part I, ITEM 1A. Risk Factors, (b) Part II, ITEM 7. Management’s Discussion and Analysis of Financial Condition and Results of Operations, and (c) Part II, ITEM 8. Financial Statements and Supplementary Data: Note 19, Commitments and Contingencies; (2) this Quarterly Report on Form 10-Q in (a) Part II, ITEM 1A. Risk Factors, (b) Part I, ITEM 2. Management’s Discussion and Analysis of Financial Condition and Results of Operations, and (c) Part I, ITEM 1. Financial Statements: Note 13, Commitments and Contingencies; and (3) other factors discussed in filings with the SEC by the Registrants.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Readers are cautioned not to place undue reliance on these forward-looking statements, which apply only as of the date of this Report. Neither Registrant undertakes any obligation to publicly release any revision to its forward-looking statements to reflect events or circumstances after the date of this Report.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TO FIND MORE INFORMATION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SEC maintains an Internet site at www.sec.gov that contains reports, proxy and information statements, and other information that we file electronically with the SEC. These documents are also available to the public from commercial document retrieval services and our website at www.ConstellationEnergy.com. Information contained on our website shall not be deemed incorporated into, or to be a part of, this Report.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179"/>
        <w:spacing w:after="0"/>
        <w:rPr>
          <w:sz w:val="20"/>
          <w:szCs w:val="20"/>
          <w:color w:val="auto"/>
        </w:rPr>
      </w:pPr>
      <w:r>
        <w:rPr>
          <w:rFonts w:ascii="Arial" w:cs="Arial" w:eastAsia="Arial" w:hAnsi="Arial"/>
          <w:sz w:val="16"/>
          <w:szCs w:val="16"/>
          <w:b w:val="1"/>
          <w:bCs w:val="1"/>
          <w:color w:val="auto"/>
        </w:rPr>
        <w:t>PART I. FINANCIAL INFORMATION</w:t>
      </w:r>
    </w:p>
    <w:p>
      <w:pPr>
        <w:spacing w:after="0" w:line="208"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4"/>
          </w:tcPr>
          <w:p>
            <w:pPr>
              <w:jc w:val="right"/>
              <w:ind w:right="13"/>
              <w:spacing w:after="0"/>
              <w:rPr>
                <w:sz w:val="20"/>
                <w:szCs w:val="20"/>
                <w:color w:val="auto"/>
              </w:rPr>
            </w:pPr>
            <w:r>
              <w:rPr>
                <w:rFonts w:ascii="Arial" w:cs="Arial" w:eastAsia="Arial" w:hAnsi="Arial"/>
                <w:sz w:val="13"/>
                <w:szCs w:val="13"/>
                <w:b w:val="1"/>
                <w:bCs w:val="1"/>
                <w:color w:val="auto"/>
                <w:w w:val="96"/>
              </w:rPr>
              <w:t>Three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4"/>
          </w:tcPr>
          <w:p>
            <w:pPr>
              <w:jc w:val="right"/>
              <w:ind w:right="113"/>
              <w:spacing w:after="0"/>
              <w:rPr>
                <w:sz w:val="20"/>
                <w:szCs w:val="20"/>
                <w:color w:val="auto"/>
              </w:rPr>
            </w:pPr>
            <w:r>
              <w:rPr>
                <w:rFonts w:ascii="Arial" w:cs="Arial" w:eastAsia="Arial" w:hAnsi="Arial"/>
                <w:sz w:val="13"/>
                <w:szCs w:val="13"/>
                <w:b w:val="1"/>
                <w:bCs w:val="1"/>
                <w:color w:val="auto"/>
                <w:w w:val="97"/>
              </w:rPr>
              <w:t>Six Months Ended June 30,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60" w:type="dxa"/>
            <w:vAlign w:val="bottom"/>
            <w:gridSpan w:val="2"/>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8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5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5,446</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5,465</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13,011</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10,896</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color w:val="auto"/>
              </w:rPr>
              <w:t>Operating revenues from affiliates</w:t>
            </w: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ind w:left="660"/>
              <w:spacing w:after="0"/>
              <w:rPr>
                <w:sz w:val="20"/>
                <w:szCs w:val="20"/>
                <w:color w:val="auto"/>
              </w:rPr>
            </w:pPr>
            <w:r>
              <w:rPr>
                <w:rFonts w:ascii="Arial" w:cs="Arial" w:eastAsia="Arial" w:hAnsi="Arial"/>
                <w:sz w:val="13"/>
                <w:szCs w:val="13"/>
                <w:color w:val="auto"/>
              </w:rPr>
              <w:t>Total operating revenues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13,011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11,056</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Purchased power and fuel</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7,054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Purchased power and fuel from affiliates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Operating and maintenance</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1,477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2,433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Operating and maintenance from affiliates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Taxes other than income taxes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60" w:type="dxa"/>
            <w:vAlign w:val="bottom"/>
            <w:gridSpan w:val="2"/>
          </w:tcPr>
          <w:p>
            <w:pPr>
              <w:ind w:left="660"/>
              <w:spacing w:after="0"/>
              <w:rPr>
                <w:sz w:val="20"/>
                <w:szCs w:val="20"/>
                <w:color w:val="auto"/>
              </w:rPr>
            </w:pPr>
            <w:r>
              <w:rPr>
                <w:rFonts w:ascii="Arial" w:cs="Arial" w:eastAsia="Arial" w:hAnsi="Arial"/>
                <w:sz w:val="13"/>
                <w:szCs w:val="13"/>
                <w:color w:val="auto"/>
              </w:rPr>
              <w:t>Total operating expenses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4,777</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12,337</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10,361</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(Loss) gain on sales of assets and businesses</w:t>
            </w: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income and (deductions)</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Interest expense, net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Interest expense to affiliates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Other, net</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w:t>
            </w: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3"/>
                <w:szCs w:val="13"/>
                <w:color w:val="auto"/>
              </w:rPr>
              <w:t>Total other income and (deductions)</w:t>
            </w: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3"/>
                <w:szCs w:val="13"/>
                <w:b w:val="1"/>
                <w:bCs w:val="1"/>
                <w:color w:val="auto"/>
              </w:rPr>
              <w:t>Income (loss) before income taxes</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3"/>
                <w:szCs w:val="13"/>
                <w:b w:val="1"/>
                <w:bCs w:val="1"/>
                <w:color w:val="auto"/>
              </w:rPr>
              <w:t>Equity in losses of unconsolidated affiliates</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(loss)</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3"/>
                <w:szCs w:val="13"/>
                <w:b w:val="1"/>
                <w:bCs w:val="1"/>
                <w:color w:val="auto"/>
              </w:rPr>
              <w:t>Net (loss) income attributable to noncontrolling interests</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(loss) attributable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Comprehensive income (loss), net of income taxes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1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3"/>
                <w:szCs w:val="13"/>
                <w:b w:val="1"/>
                <w:bCs w:val="1"/>
                <w:color w:val="auto"/>
              </w:rPr>
              <w:t>Other comprehensive income (loss), net of income taxes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Pension and non-pension postretirement benefit plans:</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ind w:left="660"/>
              <w:spacing w:after="0"/>
              <w:rPr>
                <w:sz w:val="20"/>
                <w:szCs w:val="20"/>
                <w:color w:val="auto"/>
              </w:rPr>
            </w:pPr>
            <w:r>
              <w:rPr>
                <w:rFonts w:ascii="Arial" w:cs="Arial" w:eastAsia="Arial" w:hAnsi="Arial"/>
                <w:sz w:val="13"/>
                <w:szCs w:val="13"/>
                <w:color w:val="auto"/>
              </w:rPr>
              <w:t>Prior service benefit reclassified to periodic benefit cost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Actuarial loss reclassified to periodic cost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60" w:type="dxa"/>
            <w:vAlign w:val="bottom"/>
            <w:gridSpan w:val="2"/>
          </w:tcPr>
          <w:p>
            <w:pPr>
              <w:ind w:left="660"/>
              <w:spacing w:after="0"/>
              <w:rPr>
                <w:sz w:val="20"/>
                <w:szCs w:val="20"/>
                <w:color w:val="auto"/>
              </w:rPr>
            </w:pPr>
            <w:r>
              <w:rPr>
                <w:rFonts w:ascii="Arial" w:cs="Arial" w:eastAsia="Arial" w:hAnsi="Arial"/>
                <w:sz w:val="13"/>
                <w:szCs w:val="13"/>
                <w:color w:val="auto"/>
              </w:rPr>
              <w:t>Pension and non-pension postretirement benefit plan valuation adjustment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Unrealized gain (loss) on foreign currency translation</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7160" w:type="dxa"/>
            <w:vAlign w:val="bottom"/>
            <w:tcBorders>
              <w:bottom w:val="single" w:sz="8" w:color="CCEEFF"/>
            </w:tcBorders>
            <w:gridSpan w:val="2"/>
          </w:tcPr>
          <w:p>
            <w:pPr>
              <w:ind w:left="660"/>
              <w:spacing w:after="0"/>
              <w:rPr>
                <w:sz w:val="20"/>
                <w:szCs w:val="20"/>
                <w:color w:val="auto"/>
              </w:rPr>
            </w:pPr>
            <w:r>
              <w:rPr>
                <w:rFonts w:ascii="Arial" w:cs="Arial" w:eastAsia="Arial" w:hAnsi="Arial"/>
                <w:sz w:val="13"/>
                <w:szCs w:val="13"/>
                <w:color w:val="auto"/>
              </w:rPr>
              <w:t>Other comprehensive income (loss), net of income taxes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 (loss)</w:t>
            </w: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tcPr>
          <w:p>
            <w:pPr>
              <w:spacing w:after="0"/>
              <w:rPr>
                <w:sz w:val="15"/>
                <w:szCs w:val="15"/>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Comprehensive (loss) income attributable to noncontrolling interests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 (loss) attributable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Average shares of common stock outstanding:</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Basic</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Assumed exercise and/or distributions of stock-based awards</w:t>
            </w: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Diluted</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5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3"/>
                <w:szCs w:val="13"/>
                <w:b w:val="1"/>
                <w:bCs w:val="1"/>
                <w:color w:val="auto"/>
              </w:rPr>
              <w:t>Earnings per average common share</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1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60" w:type="dxa"/>
            <w:vAlign w:val="bottom"/>
            <w:gridSpan w:val="2"/>
          </w:tcPr>
          <w:p>
            <w:pPr>
              <w:ind w:left="340"/>
              <w:spacing w:after="0"/>
              <w:rPr>
                <w:sz w:val="20"/>
                <w:szCs w:val="20"/>
                <w:color w:val="auto"/>
              </w:rPr>
            </w:pPr>
            <w:r>
              <w:rPr>
                <w:rFonts w:ascii="Arial" w:cs="Arial" w:eastAsia="Arial" w:hAnsi="Arial"/>
                <w:sz w:val="13"/>
                <w:szCs w:val="13"/>
                <w:color w:val="auto"/>
              </w:rPr>
              <w:t>Diluted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2.56</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(0.34)</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2.84</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r>
      <w:tr>
        <w:trPr>
          <w:trHeight w:val="176"/>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840" w:type="dxa"/>
            <w:vAlign w:val="bottom"/>
            <w:gridSpan w:val="2"/>
          </w:tcPr>
          <w:p>
            <w:pPr>
              <w:ind w:left="12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926</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(loss) to net cash flows (used in) provided by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Depreciation, amortization, and accretion, including nuclear fuel and energy contract amortization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on sales of assets and businesses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Deferred income taxes and amortization of ITCs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(707)</w:t>
            </w:r>
          </w:p>
        </w:tc>
      </w:tr>
      <w:tr>
        <w:trPr>
          <w:trHeight w:val="209"/>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fair value changes related to derivatives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Net realized and unrealized (gains) losses on NDT funds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realized and unrealized (gains) losses on equity investments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Other non-cash operating activities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Receivables from and payables to affiliates, net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9"/>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Option premiums paid, net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Collateral (posted) received,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r>
      <w:tr>
        <w:trPr>
          <w:trHeight w:val="197"/>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Pension and non-pension postretirement benefit contributions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203"/>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Other assets and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(1,946)</w:t>
            </w: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flows (used in)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r>
      <w:tr>
        <w:trPr>
          <w:trHeight w:val="182"/>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Proceeds from NDT fund sales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2,188</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Investment in NDT funds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Collection of DPP, net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1,595</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sales of assets and businesses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20" w:type="dxa"/>
            <w:vAlign w:val="bottom"/>
            <w:tcBorders>
              <w:bottom w:val="single" w:sz="8" w:color="CCEEFF"/>
            </w:tcBorders>
          </w:tcPr>
          <w:p>
            <w:pPr>
              <w:spacing w:after="0"/>
              <w:rPr>
                <w:sz w:val="17"/>
                <w:szCs w:val="17"/>
                <w:color w:val="auto"/>
              </w:rPr>
            </w:pPr>
          </w:p>
        </w:tc>
        <w:tc>
          <w:tcPr>
            <w:tcW w:w="8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cash flows provided by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95"/>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 in short-term borrowings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r>
      <w:tr>
        <w:trPr>
          <w:trHeight w:val="196"/>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Proceeds from short-term borrowings with maturities greater than 90 days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Repayments of short-term borrowings with maturities greater than 90 days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Issuance of long-term debt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Retirement of long-term debt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r>
      <w:tr>
        <w:trPr>
          <w:trHeight w:val="196"/>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Retirement of long-term debt to affiliate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Contributions from Exelon</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r>
      <w:tr>
        <w:trPr>
          <w:trHeight w:val="197"/>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Dividends paid on common stock</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8"/>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Repurchases of common stock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Other financing activities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flows provided by (used in)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w:t>
            </w:r>
          </w:p>
        </w:tc>
      </w:tr>
      <w:tr>
        <w:trPr>
          <w:trHeight w:val="183"/>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(Decrease) increase in cash, restricted cash, and cash equivalents</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Cash, restricted cash, and cash equivalents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r>
      <w:tr>
        <w:trPr>
          <w:trHeight w:val="196"/>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Cash, restricted cash, and cash equivalents at end of period</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325</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Decrease in capital expenditures not paid</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96"/>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Increase in DPP</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1,860</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in PP&amp;E related to ARO update</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ectPr>
          <w:pgSz w:w="11900" w:h="16838" w:orient="portrait"/>
          <w:cols w:equalWidth="0" w:num="1">
            <w:col w:w="11240"/>
          </w:cols>
          <w:pgMar w:left="320" w:top="129"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6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3"/>
                <w:szCs w:val="13"/>
                <w:color w:val="auto"/>
              </w:rPr>
            </w:pPr>
          </w:p>
        </w:tc>
        <w:tc>
          <w:tcPr>
            <w:tcW w:w="1640" w:type="dxa"/>
            <w:vAlign w:val="bottom"/>
          </w:tcPr>
          <w:p>
            <w:pPr>
              <w:jc w:val="right"/>
              <w:ind w:right="50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jc w:val="right"/>
              <w:ind w:right="34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6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340" w:type="dxa"/>
            <w:vAlign w:val="bottom"/>
            <w:shd w:val="clear" w:color="auto" w:fill="CCEEFF"/>
          </w:tcPr>
          <w:p>
            <w:pPr>
              <w:ind w:left="248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Restricted cash and cash equivalents</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60" w:type="dxa"/>
            <w:vAlign w:val="bottom"/>
            <w:gridSpan w:val="2"/>
          </w:tcPr>
          <w:p>
            <w:pPr>
              <w:ind w:left="660"/>
              <w:spacing w:after="0" w:line="165" w:lineRule="exact"/>
              <w:rPr>
                <w:sz w:val="20"/>
                <w:szCs w:val="20"/>
                <w:color w:val="auto"/>
              </w:rPr>
            </w:pPr>
            <w:r>
              <w:rPr>
                <w:rFonts w:ascii="Arial" w:cs="Arial" w:eastAsia="Arial" w:hAnsi="Arial"/>
                <w:sz w:val="16"/>
                <w:szCs w:val="16"/>
                <w:color w:val="auto"/>
              </w:rPr>
              <w:t>Customer accounts receivable (net of allowance for credit losses of $51 and $46 as of</w:t>
            </w:r>
          </w:p>
        </w:tc>
        <w:tc>
          <w:tcPr>
            <w:tcW w:w="36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tcPr>
          <w:p>
            <w:pPr>
              <w:ind w:left="660"/>
              <w:spacing w:after="0"/>
              <w:rPr>
                <w:sz w:val="20"/>
                <w:szCs w:val="20"/>
                <w:color w:val="auto"/>
              </w:rPr>
            </w:pPr>
            <w:r>
              <w:rPr>
                <w:rFonts w:ascii="Arial" w:cs="Arial" w:eastAsia="Arial" w:hAnsi="Arial"/>
                <w:sz w:val="16"/>
                <w:szCs w:val="16"/>
                <w:color w:val="auto"/>
              </w:rPr>
              <w:t>June 30, 2023 and December 31, 2022, respectively)</w:t>
            </w:r>
          </w:p>
        </w:tc>
        <w:tc>
          <w:tcPr>
            <w:tcW w:w="3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060" w:type="dxa"/>
            <w:vAlign w:val="bottom"/>
            <w:gridSpan w:val="2"/>
            <w:shd w:val="clear" w:color="auto" w:fill="CCEEFF"/>
          </w:tcPr>
          <w:p>
            <w:pPr>
              <w:ind w:left="660"/>
              <w:spacing w:after="0" w:line="168" w:lineRule="exact"/>
              <w:rPr>
                <w:sz w:val="20"/>
                <w:szCs w:val="20"/>
                <w:color w:val="auto"/>
              </w:rPr>
            </w:pPr>
            <w:r>
              <w:rPr>
                <w:rFonts w:ascii="Arial" w:cs="Arial" w:eastAsia="Arial" w:hAnsi="Arial"/>
                <w:sz w:val="16"/>
                <w:szCs w:val="16"/>
                <w:color w:val="auto"/>
              </w:rPr>
              <w:t>Other accounts receivable (net of allowance for credit losses of $5 as of June 30, 2023</w:t>
            </w:r>
          </w:p>
        </w:tc>
        <w:tc>
          <w:tcPr>
            <w:tcW w:w="3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and December 31, 2022)</w:t>
            </w:r>
          </w:p>
        </w:tc>
        <w:tc>
          <w:tcPr>
            <w:tcW w:w="3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Mark-to-market derivative assets</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Inventories,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660"/>
              <w:spacing w:after="0"/>
              <w:rPr>
                <w:sz w:val="20"/>
                <w:szCs w:val="20"/>
                <w:color w:val="auto"/>
              </w:rPr>
            </w:pPr>
            <w:r>
              <w:rPr>
                <w:rFonts w:ascii="Arial" w:cs="Arial" w:eastAsia="Arial" w:hAnsi="Arial"/>
                <w:sz w:val="16"/>
                <w:szCs w:val="16"/>
                <w:color w:val="auto"/>
              </w:rPr>
              <w:t>Natural gas, oil, and emission allowances</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Materials and supplies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Renewable energy credits</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06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9,360</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7060" w:type="dxa"/>
            <w:vAlign w:val="bottom"/>
            <w:gridSpan w:val="2"/>
            <w:shd w:val="clear" w:color="auto" w:fill="CCEEFF"/>
          </w:tcPr>
          <w:p>
            <w:pPr>
              <w:spacing w:after="0" w:line="145" w:lineRule="exact"/>
              <w:rPr>
                <w:sz w:val="20"/>
                <w:szCs w:val="20"/>
                <w:color w:val="auto"/>
              </w:rPr>
            </w:pPr>
            <w:r>
              <w:rPr>
                <w:rFonts w:ascii="Arial" w:cs="Arial" w:eastAsia="Arial" w:hAnsi="Arial"/>
                <w:sz w:val="16"/>
                <w:szCs w:val="16"/>
                <w:b w:val="1"/>
                <w:bCs w:val="1"/>
                <w:color w:val="auto"/>
              </w:rPr>
              <w:t>Property, plant, and equipment (net of accumulated depreciation and amortization of</w:t>
            </w:r>
          </w:p>
        </w:tc>
        <w:tc>
          <w:tcPr>
            <w:tcW w:w="3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20,239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19,822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$16,923 and $16,726 as of June 30, 2023 and December 31, 2022, respectively)</w:t>
            </w:r>
          </w:p>
        </w:tc>
        <w:tc>
          <w:tcPr>
            <w:tcW w:w="3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6"/>
                <w:szCs w:val="16"/>
                <w:b w:val="1"/>
                <w:bCs w:val="1"/>
                <w:color w:val="auto"/>
              </w:rPr>
              <w:t>Deferred debits and other assets</w:t>
            </w: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Nuclear decommissioning trust funds</w:t>
            </w: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Investments</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Mark-to-market derivative assets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gridSpan w:val="2"/>
          </w:tcPr>
          <w:p>
            <w:pPr>
              <w:ind w:left="660"/>
              <w:spacing w:after="0"/>
              <w:rPr>
                <w:sz w:val="20"/>
                <w:szCs w:val="20"/>
                <w:color w:val="auto"/>
              </w:rPr>
            </w:pPr>
            <w:r>
              <w:rPr>
                <w:rFonts w:ascii="Arial" w:cs="Arial" w:eastAsia="Arial" w:hAnsi="Arial"/>
                <w:sz w:val="16"/>
                <w:szCs w:val="16"/>
                <w:color w:val="auto"/>
              </w:rPr>
              <w:t>Total deferred debits and other assets</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b w:val="1"/>
                <w:bCs w:val="1"/>
                <w:color w:val="auto"/>
              </w:rPr>
              <w:t>Total assets</w:t>
            </w:r>
            <w:r>
              <w:rPr>
                <w:rFonts w:ascii="Arial" w:cs="Arial" w:eastAsia="Arial" w:hAnsi="Arial"/>
                <w:sz w:val="21"/>
                <w:szCs w:val="21"/>
                <w:b w:val="1"/>
                <w:bCs w:val="1"/>
                <w:color w:val="auto"/>
                <w:vertAlign w:val="superscript"/>
              </w:rPr>
              <w:t>(a)</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3"/>
                <w:szCs w:val="13"/>
                <w:color w:val="auto"/>
              </w:rPr>
            </w:pPr>
          </w:p>
        </w:tc>
        <w:tc>
          <w:tcPr>
            <w:tcW w:w="1660" w:type="dxa"/>
            <w:vAlign w:val="bottom"/>
          </w:tcPr>
          <w:p>
            <w:pPr>
              <w:jc w:val="right"/>
              <w:ind w:right="52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jc w:val="right"/>
              <w:ind w:right="34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360" w:type="dxa"/>
            <w:vAlign w:val="bottom"/>
            <w:shd w:val="clear" w:color="auto" w:fill="CCEEFF"/>
          </w:tcPr>
          <w:p>
            <w:pPr>
              <w:ind w:left="184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Short-term borrowings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Long-term debt due within one year</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Mark-to-market derivative liabilities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Renewable energy credit obligation</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60" w:type="dxa"/>
            <w:vAlign w:val="bottom"/>
            <w:tcBorders>
              <w:bottom w:val="single" w:sz="8" w:color="CCEEFF"/>
            </w:tcBorders>
            <w:gridSpan w:val="2"/>
          </w:tcPr>
          <w:p>
            <w:pPr>
              <w:ind w:left="6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7,839</w:t>
            </w:r>
          </w:p>
        </w:tc>
        <w:tc>
          <w:tcPr>
            <w:tcW w:w="0" w:type="dxa"/>
            <w:vAlign w:val="bottom"/>
          </w:tcPr>
          <w:p>
            <w:pPr>
              <w:spacing w:after="0"/>
              <w:rPr>
                <w:sz w:val="1"/>
                <w:szCs w:val="1"/>
                <w:color w:val="auto"/>
              </w:rPr>
            </w:pPr>
          </w:p>
        </w:tc>
      </w:tr>
      <w:tr>
        <w:trPr>
          <w:trHeight w:val="212"/>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Deferred credits and other liabilities</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 and unamortized ITCs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Asset retirement obligations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12,971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12,699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Pension obligations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Non-pension postretirement benefit obligations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Spent nuclear fuel obligation</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Payables related to Regulatory Agreement Units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2,897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Mark-to-market derivative liabilities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Total deferred credits and 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23,232</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640"/>
              <w:spacing w:after="0" w:line="210" w:lineRule="exact"/>
              <w:rPr>
                <w:sz w:val="20"/>
                <w:szCs w:val="20"/>
                <w:color w:val="auto"/>
              </w:rPr>
            </w:pPr>
            <w:r>
              <w:rPr>
                <w:rFonts w:ascii="Arial" w:cs="Arial" w:eastAsia="Arial" w:hAnsi="Arial"/>
                <w:sz w:val="16"/>
                <w:szCs w:val="16"/>
                <w:color w:val="auto"/>
              </w:rPr>
              <w:t>Total liabilities</w:t>
            </w:r>
            <w:r>
              <w:rPr>
                <w:rFonts w:ascii="Arial" w:cs="Arial" w:eastAsia="Arial" w:hAnsi="Arial"/>
                <w:sz w:val="21"/>
                <w:szCs w:val="21"/>
                <w:color w:val="auto"/>
                <w:vertAlign w:val="superscript"/>
              </w:rPr>
              <w:t>(a)</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35,537</w:t>
            </w:r>
          </w:p>
        </w:tc>
        <w:tc>
          <w:tcPr>
            <w:tcW w:w="0" w:type="dxa"/>
            <w:vAlign w:val="bottom"/>
          </w:tcPr>
          <w:p>
            <w:pPr>
              <w:spacing w:after="0"/>
              <w:rPr>
                <w:sz w:val="1"/>
                <w:szCs w:val="1"/>
                <w:color w:val="auto"/>
              </w:rPr>
            </w:pPr>
          </w:p>
        </w:tc>
      </w:tr>
      <w:tr>
        <w:trPr>
          <w:trHeight w:val="19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13)</w:t>
            </w:r>
          </w:p>
        </w:tc>
        <w:tc>
          <w:tcPr>
            <w:tcW w:w="3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80" w:type="dxa"/>
            <w:vAlign w:val="bottom"/>
            <w:gridSpan w:val="3"/>
            <w:shd w:val="clear" w:color="auto" w:fill="CCEEFF"/>
          </w:tcPr>
          <w:p>
            <w:pPr>
              <w:ind w:left="20"/>
              <w:spacing w:after="0" w:line="165" w:lineRule="exact"/>
              <w:rPr>
                <w:sz w:val="20"/>
                <w:szCs w:val="20"/>
                <w:color w:val="auto"/>
              </w:rPr>
            </w:pPr>
            <w:r>
              <w:rPr>
                <w:rFonts w:ascii="Arial" w:cs="Arial" w:eastAsia="Arial" w:hAnsi="Arial"/>
                <w:sz w:val="16"/>
                <w:szCs w:val="16"/>
                <w:color w:val="auto"/>
              </w:rPr>
              <w:t>Common stock (No par value, 1,000 shares authorized, 322 shares and 327 shares outstanding</w:t>
            </w:r>
          </w:p>
        </w:tc>
        <w:tc>
          <w:tcPr>
            <w:tcW w:w="34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12,808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13,274</w:t>
            </w:r>
          </w:p>
        </w:tc>
        <w:tc>
          <w:tcPr>
            <w:tcW w:w="0" w:type="dxa"/>
            <w:vAlign w:val="bottom"/>
          </w:tcPr>
          <w:p>
            <w:pPr>
              <w:spacing w:after="0"/>
              <w:rPr>
                <w:sz w:val="1"/>
                <w:szCs w:val="1"/>
                <w:color w:val="auto"/>
              </w:rPr>
            </w:pPr>
          </w:p>
        </w:tc>
      </w:tr>
      <w:tr>
        <w:trPr>
          <w:trHeight w:val="213"/>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as of June 30, 2023 and December 31, 2022, respectively)</w:t>
            </w:r>
          </w:p>
        </w:tc>
        <w:tc>
          <w:tcPr>
            <w:tcW w:w="34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Retained earnings (deficit)</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 net</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gridSpan w:val="2"/>
          </w:tcPr>
          <w:p>
            <w:pPr>
              <w:ind w:left="640"/>
              <w:spacing w:after="0"/>
              <w:rPr>
                <w:sz w:val="20"/>
                <w:szCs w:val="20"/>
                <w:color w:val="auto"/>
              </w:rPr>
            </w:pPr>
            <w:r>
              <w:rPr>
                <w:rFonts w:ascii="Arial" w:cs="Arial" w:eastAsia="Arial" w:hAnsi="Arial"/>
                <w:sz w:val="16"/>
                <w:szCs w:val="16"/>
                <w:color w:val="auto"/>
              </w:rPr>
              <w:t>Total shareholders' equity</w:t>
            </w:r>
          </w:p>
        </w:tc>
        <w:tc>
          <w:tcPr>
            <w:tcW w:w="3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11,018</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tcPr>
          <w:p>
            <w:pPr>
              <w:ind w:left="6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11,372</w:t>
            </w:r>
          </w:p>
        </w:tc>
        <w:tc>
          <w:tcPr>
            <w:tcW w:w="0" w:type="dxa"/>
            <w:vAlign w:val="bottom"/>
          </w:tcPr>
          <w:p>
            <w:pPr>
              <w:spacing w:after="0"/>
              <w:rPr>
                <w:sz w:val="1"/>
                <w:szCs w:val="1"/>
                <w:color w:val="auto"/>
              </w:rPr>
            </w:pPr>
          </w:p>
        </w:tc>
      </w:tr>
      <w:tr>
        <w:trPr>
          <w:trHeight w:val="229"/>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consolidated assets include $3,392 million and $2,641 million at June 30, 2023 and December 31, 2022, respectively, of certain VIEs that can only be used to settle the liabilities of the VIE. Our consolidated liabilities include $1,024 million and $1,041 million at June 30, 2023 and December 31, 2022, respectively, of certain VIEs for which the VIE creditors do not have recourse to us. See Note 15 — Variable Interest Entities for additional information.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Constellation Energy Corporation and Subsidiary Companies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560"/>
              <w:spacing w:after="0"/>
              <w:rPr>
                <w:sz w:val="20"/>
                <w:szCs w:val="20"/>
                <w:color w:val="auto"/>
              </w:rPr>
            </w:pPr>
            <w:r>
              <w:rPr>
                <w:rFonts w:ascii="Arial" w:cs="Arial" w:eastAsia="Arial" w:hAnsi="Arial"/>
                <w:sz w:val="13"/>
                <w:szCs w:val="13"/>
                <w:b w:val="1"/>
                <w:bCs w:val="1"/>
                <w:color w:val="auto"/>
                <w:w w:val="98"/>
              </w:rPr>
              <w:t>Six Months Ended June 30, 2023</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4"/>
          </w:tcPr>
          <w:p>
            <w:pPr>
              <w:jc w:val="right"/>
              <w:ind w:right="191"/>
              <w:spacing w:after="0"/>
              <w:rPr>
                <w:sz w:val="20"/>
                <w:szCs w:val="20"/>
                <w:color w:val="auto"/>
              </w:rPr>
            </w:pPr>
            <w:r>
              <w:rPr>
                <w:rFonts w:ascii="Arial" w:cs="Arial" w:eastAsia="Arial" w:hAnsi="Arial"/>
                <w:sz w:val="13"/>
                <w:szCs w:val="13"/>
                <w:b w:val="1"/>
                <w:bCs w:val="1"/>
                <w:color w:val="auto"/>
              </w:rPr>
              <w:t>Shareholders' Equity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2"/>
                <w:szCs w:val="12"/>
                <w:color w:val="auto"/>
              </w:rPr>
            </w:pPr>
          </w:p>
        </w:tc>
        <w:tc>
          <w:tcPr>
            <w:tcW w:w="1280" w:type="dxa"/>
            <w:vAlign w:val="bottom"/>
          </w:tcPr>
          <w:p>
            <w:pPr>
              <w:jc w:val="right"/>
              <w:ind w:right="211"/>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shares in thousands)</w:t>
            </w:r>
          </w:p>
        </w:tc>
        <w:tc>
          <w:tcPr>
            <w:tcW w:w="1040" w:type="dxa"/>
            <w:vAlign w:val="bottom"/>
          </w:tcPr>
          <w:p>
            <w:pPr>
              <w:jc w:val="right"/>
              <w:ind w:right="30"/>
              <w:spacing w:after="0"/>
              <w:rPr>
                <w:sz w:val="20"/>
                <w:szCs w:val="20"/>
                <w:color w:val="auto"/>
              </w:rPr>
            </w:pPr>
            <w:r>
              <w:rPr>
                <w:rFonts w:ascii="Arial" w:cs="Arial" w:eastAsia="Arial" w:hAnsi="Arial"/>
                <w:sz w:val="13"/>
                <w:szCs w:val="13"/>
                <w:b w:val="1"/>
                <w:bCs w:val="1"/>
                <w:color w:val="auto"/>
              </w:rPr>
              <w:t>Issued Shares</w:t>
            </w:r>
          </w:p>
        </w:tc>
        <w:tc>
          <w:tcPr>
            <w:tcW w:w="10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b w:val="1"/>
                <w:bCs w:val="1"/>
                <w:color w:val="auto"/>
                <w:w w:val="94"/>
              </w:rPr>
              <w:t>(Deficit)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Loss, net</w:t>
            </w:r>
          </w:p>
        </w:tc>
        <w:tc>
          <w:tcPr>
            <w:tcW w:w="180" w:type="dxa"/>
            <w:vAlign w:val="bottom"/>
          </w:tcPr>
          <w:p>
            <w:pPr>
              <w:spacing w:after="0"/>
              <w:rPr>
                <w:sz w:val="13"/>
                <w:szCs w:val="13"/>
                <w:color w:val="auto"/>
              </w:rPr>
            </w:pPr>
          </w:p>
        </w:tc>
        <w:tc>
          <w:tcPr>
            <w:tcW w:w="1280" w:type="dxa"/>
            <w:vAlign w:val="bottom"/>
          </w:tcPr>
          <w:p>
            <w:pPr>
              <w:jc w:val="right"/>
              <w:ind w:right="391"/>
              <w:spacing w:after="0"/>
              <w:rPr>
                <w:sz w:val="20"/>
                <w:szCs w:val="20"/>
                <w:color w:val="auto"/>
              </w:rPr>
            </w:pPr>
            <w:r>
              <w:rPr>
                <w:rFonts w:ascii="Arial" w:cs="Arial" w:eastAsia="Arial" w:hAnsi="Arial"/>
                <w:sz w:val="13"/>
                <w:szCs w:val="13"/>
                <w:b w:val="1"/>
                <w:bCs w:val="1"/>
                <w:color w:val="auto"/>
              </w:rPr>
              <w:t>Interests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27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327,130</w:t>
            </w:r>
          </w:p>
        </w:tc>
        <w:tc>
          <w:tcPr>
            <w:tcW w:w="42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11,372</w:t>
            </w:r>
          </w:p>
        </w:tc>
        <w:tc>
          <w:tcPr>
            <w:tcW w:w="0" w:type="dxa"/>
            <w:vAlign w:val="bottom"/>
          </w:tcPr>
          <w:p>
            <w:pPr>
              <w:spacing w:after="0"/>
              <w:rPr>
                <w:sz w:val="1"/>
                <w:szCs w:val="1"/>
                <w:color w:val="auto"/>
              </w:rPr>
            </w:pPr>
          </w:p>
        </w:tc>
      </w:tr>
      <w:tr>
        <w:trPr>
          <w:trHeight w:val="189"/>
        </w:trPr>
        <w:tc>
          <w:tcPr>
            <w:tcW w:w="318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3"/>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Employee incentive plans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3180" w:type="dxa"/>
            <w:vAlign w:val="bottom"/>
            <w:gridSpan w:val="3"/>
          </w:tcPr>
          <w:p>
            <w:pPr>
              <w:ind w:left="20"/>
              <w:spacing w:after="0"/>
              <w:rPr>
                <w:sz w:val="20"/>
                <w:szCs w:val="20"/>
                <w:color w:val="auto"/>
              </w:rPr>
            </w:pPr>
            <w:r>
              <w:rPr>
                <w:rFonts w:ascii="Arial" w:cs="Arial" w:eastAsia="Arial" w:hAnsi="Arial"/>
                <w:sz w:val="14"/>
                <w:szCs w:val="14"/>
                <w:color w:val="auto"/>
              </w:rPr>
              <w:t>Changes in equity of noncontrolling interest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stock dividends ($0.28/common share)</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7"/>
        </w:trPr>
        <w:tc>
          <w:tcPr>
            <w:tcW w:w="3180" w:type="dxa"/>
            <w:vAlign w:val="bottom"/>
            <w:gridSpan w:val="3"/>
          </w:tcPr>
          <w:p>
            <w:pPr>
              <w:ind w:left="20"/>
              <w:spacing w:after="0"/>
              <w:rPr>
                <w:sz w:val="20"/>
                <w:szCs w:val="20"/>
                <w:color w:val="auto"/>
              </w:rPr>
            </w:pPr>
            <w:r>
              <w:rPr>
                <w:rFonts w:ascii="Arial" w:cs="Arial" w:eastAsia="Arial" w:hAnsi="Arial"/>
                <w:sz w:val="14"/>
                <w:szCs w:val="14"/>
                <w:color w:val="auto"/>
              </w:rPr>
              <w:t>Common stock repurchased</w:t>
            </w:r>
          </w:p>
        </w:tc>
        <w:tc>
          <w:tcPr>
            <w:tcW w:w="1040" w:type="dxa"/>
            <w:vAlign w:val="bottom"/>
          </w:tcPr>
          <w:p>
            <w:pPr>
              <w:jc w:val="right"/>
              <w:spacing w:after="0"/>
              <w:rPr>
                <w:sz w:val="20"/>
                <w:szCs w:val="20"/>
                <w:color w:val="auto"/>
              </w:rPr>
            </w:pPr>
            <w:r>
              <w:rPr>
                <w:rFonts w:ascii="Arial" w:cs="Arial" w:eastAsia="Arial" w:hAnsi="Arial"/>
                <w:sz w:val="14"/>
                <w:szCs w:val="14"/>
                <w:color w:val="auto"/>
              </w:rPr>
              <w:t>(3,239)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08"/>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income taxes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6"/>
        </w:trPr>
        <w:tc>
          <w:tcPr>
            <w:tcW w:w="318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March 31, 2023</w:t>
            </w:r>
          </w:p>
        </w:tc>
        <w:tc>
          <w:tcPr>
            <w:tcW w:w="1040" w:type="dxa"/>
            <w:vAlign w:val="bottom"/>
          </w:tcPr>
          <w:p>
            <w:pPr>
              <w:jc w:val="right"/>
              <w:spacing w:after="0"/>
              <w:rPr>
                <w:sz w:val="20"/>
                <w:szCs w:val="20"/>
                <w:color w:val="auto"/>
              </w:rPr>
            </w:pPr>
            <w:r>
              <w:rPr>
                <w:rFonts w:ascii="Arial" w:cs="Arial" w:eastAsia="Arial" w:hAnsi="Arial"/>
                <w:sz w:val="14"/>
                <w:szCs w:val="14"/>
                <w:color w:val="auto"/>
              </w:rPr>
              <w:t>324,419</w:t>
            </w:r>
          </w:p>
        </w:tc>
        <w:tc>
          <w:tcPr>
            <w:tcW w:w="420" w:type="dxa"/>
            <w:vAlign w:val="bottom"/>
            <w:gridSpan w:val="2"/>
          </w:tcPr>
          <w:p>
            <w:pPr>
              <w:jc w:val="right"/>
              <w:ind w:right="157"/>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13,029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(1,808)</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1"/>
              <w:spacing w:after="0"/>
              <w:rPr>
                <w:sz w:val="20"/>
                <w:szCs w:val="20"/>
                <w:color w:val="auto"/>
              </w:rPr>
            </w:pPr>
            <w:r>
              <w:rPr>
                <w:rFonts w:ascii="Arial" w:cs="Arial" w:eastAsia="Arial" w:hAnsi="Arial"/>
                <w:sz w:val="14"/>
                <w:szCs w:val="14"/>
                <w:color w:val="auto"/>
              </w:rPr>
              <w:t>358</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11,086</w:t>
            </w:r>
          </w:p>
        </w:tc>
        <w:tc>
          <w:tcPr>
            <w:tcW w:w="0" w:type="dxa"/>
            <w:vAlign w:val="bottom"/>
          </w:tcPr>
          <w:p>
            <w:pPr>
              <w:spacing w:after="0"/>
              <w:rPr>
                <w:sz w:val="1"/>
                <w:szCs w:val="1"/>
                <w:color w:val="auto"/>
              </w:rPr>
            </w:pPr>
          </w:p>
        </w:tc>
      </w:tr>
      <w:tr>
        <w:trPr>
          <w:trHeight w:val="203"/>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209"/>
        </w:trPr>
        <w:tc>
          <w:tcPr>
            <w:tcW w:w="3180" w:type="dxa"/>
            <w:vAlign w:val="bottom"/>
            <w:gridSpan w:val="3"/>
          </w:tcPr>
          <w:p>
            <w:pPr>
              <w:ind w:left="20"/>
              <w:spacing w:after="0"/>
              <w:rPr>
                <w:sz w:val="20"/>
                <w:szCs w:val="20"/>
                <w:color w:val="auto"/>
              </w:rPr>
            </w:pPr>
            <w:r>
              <w:rPr>
                <w:rFonts w:ascii="Arial" w:cs="Arial" w:eastAsia="Arial" w:hAnsi="Arial"/>
                <w:sz w:val="14"/>
                <w:szCs w:val="14"/>
                <w:color w:val="auto"/>
              </w:rPr>
              <w:t>Employee incentive plans</w:t>
            </w:r>
          </w:p>
        </w:tc>
        <w:tc>
          <w:tcPr>
            <w:tcW w:w="10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128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96"/>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Changes in equity of noncontrolling interests</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96"/>
        </w:trPr>
        <w:tc>
          <w:tcPr>
            <w:tcW w:w="3180" w:type="dxa"/>
            <w:vAlign w:val="bottom"/>
            <w:gridSpan w:val="3"/>
          </w:tcPr>
          <w:p>
            <w:pPr>
              <w:ind w:left="20"/>
              <w:spacing w:after="0"/>
              <w:rPr>
                <w:sz w:val="20"/>
                <w:szCs w:val="20"/>
                <w:color w:val="auto"/>
              </w:rPr>
            </w:pPr>
            <w:r>
              <w:rPr>
                <w:rFonts w:ascii="Arial" w:cs="Arial" w:eastAsia="Arial" w:hAnsi="Arial"/>
                <w:sz w:val="14"/>
                <w:szCs w:val="14"/>
                <w:color w:val="auto"/>
              </w:rPr>
              <w:t>Common stock dividends ($0.28/common share)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128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20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stock repurchased</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48"/>
        </w:trPr>
        <w:tc>
          <w:tcPr>
            <w:tcW w:w="31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comprehensive income, net of income</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11"/>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11"/>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6"/>
        </w:trPr>
        <w:tc>
          <w:tcPr>
            <w:tcW w:w="31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taxes</w:t>
            </w: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June 30, 2023</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321,576</w:t>
            </w:r>
          </w:p>
        </w:tc>
        <w:tc>
          <w:tcPr>
            <w:tcW w:w="420" w:type="dxa"/>
            <w:vAlign w:val="bottom"/>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jc w:val="right"/>
              <w:ind w:right="890"/>
              <w:spacing w:after="0"/>
              <w:rPr>
                <w:sz w:val="20"/>
                <w:szCs w:val="20"/>
                <w:color w:val="auto"/>
              </w:rPr>
            </w:pPr>
            <w:r>
              <w:rPr>
                <w:rFonts w:ascii="Arial" w:cs="Arial" w:eastAsia="Arial" w:hAnsi="Arial"/>
                <w:sz w:val="13"/>
                <w:szCs w:val="13"/>
                <w:b w:val="1"/>
                <w:bCs w:val="1"/>
                <w:color w:val="auto"/>
                <w:w w:val="98"/>
              </w:rPr>
              <w:t>Six Months Ended June 30, 2022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4"/>
          </w:tcPr>
          <w:p>
            <w:pPr>
              <w:jc w:val="right"/>
              <w:ind w:right="111"/>
              <w:spacing w:after="0"/>
              <w:rPr>
                <w:sz w:val="20"/>
                <w:szCs w:val="20"/>
                <w:color w:val="auto"/>
              </w:rPr>
            </w:pPr>
            <w:r>
              <w:rPr>
                <w:rFonts w:ascii="Arial" w:cs="Arial" w:eastAsia="Arial" w:hAnsi="Arial"/>
                <w:sz w:val="13"/>
                <w:szCs w:val="13"/>
                <w:b w:val="1"/>
                <w:bCs w:val="1"/>
                <w:color w:val="auto"/>
              </w:rPr>
              <w:t>Shareholders' Equity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91"/>
              <w:spacing w:after="0" w:line="148"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91"/>
              <w:spacing w:after="0"/>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91"/>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11"/>
              <w:spacing w:after="0"/>
              <w:rPr>
                <w:sz w:val="20"/>
                <w:szCs w:val="20"/>
                <w:color w:val="auto"/>
              </w:rPr>
            </w:pPr>
            <w:r>
              <w:rPr>
                <w:rFonts w:ascii="Arial" w:cs="Arial" w:eastAsia="Arial" w:hAnsi="Arial"/>
                <w:sz w:val="13"/>
                <w:szCs w:val="13"/>
                <w:b w:val="1"/>
                <w:bCs w:val="1"/>
                <w:color w:val="auto"/>
                <w:w w:val="96"/>
              </w:rPr>
              <w:t>Earnings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91"/>
              <w:spacing w:after="0"/>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190"/>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70"/>
              <w:spacing w:after="0"/>
              <w:rPr>
                <w:sz w:val="20"/>
                <w:szCs w:val="20"/>
                <w:color w:val="auto"/>
              </w:rPr>
            </w:pPr>
            <w:r>
              <w:rPr>
                <w:rFonts w:ascii="Arial" w:cs="Arial" w:eastAsia="Arial" w:hAnsi="Arial"/>
                <w:sz w:val="13"/>
                <w:szCs w:val="13"/>
                <w:b w:val="1"/>
                <w:bCs w:val="1"/>
                <w:color w:val="auto"/>
                <w:w w:val="99"/>
              </w:rPr>
              <w:t>Predecessor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(In millions, shares in thousands)</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w w:val="99"/>
              </w:rPr>
              <w:t>Issued Shares</w:t>
            </w: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Common Stock</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91"/>
              <w:spacing w:after="0"/>
              <w:rPr>
                <w:sz w:val="20"/>
                <w:szCs w:val="20"/>
                <w:color w:val="auto"/>
              </w:rPr>
            </w:pPr>
            <w:r>
              <w:rPr>
                <w:rFonts w:ascii="Arial" w:cs="Arial" w:eastAsia="Arial" w:hAnsi="Arial"/>
                <w:sz w:val="13"/>
                <w:szCs w:val="13"/>
                <w:b w:val="1"/>
                <w:bCs w:val="1"/>
                <w:color w:val="auto"/>
                <w:w w:val="99"/>
              </w:rPr>
              <w:t>(Deficit)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91"/>
              <w:spacing w:after="0"/>
              <w:rPr>
                <w:sz w:val="20"/>
                <w:szCs w:val="20"/>
                <w:color w:val="auto"/>
              </w:rPr>
            </w:pPr>
            <w:r>
              <w:rPr>
                <w:rFonts w:ascii="Arial" w:cs="Arial" w:eastAsia="Arial" w:hAnsi="Arial"/>
                <w:sz w:val="13"/>
                <w:szCs w:val="13"/>
                <w:b w:val="1"/>
                <w:bCs w:val="1"/>
                <w:color w:val="auto"/>
                <w:w w:val="94"/>
              </w:rPr>
              <w:t>Loss, 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370"/>
              <w:spacing w:after="0"/>
              <w:rPr>
                <w:sz w:val="20"/>
                <w:szCs w:val="20"/>
                <w:color w:val="auto"/>
              </w:rPr>
            </w:pPr>
            <w:r>
              <w:rPr>
                <w:rFonts w:ascii="Arial" w:cs="Arial" w:eastAsia="Arial" w:hAnsi="Arial"/>
                <w:sz w:val="13"/>
                <w:szCs w:val="13"/>
                <w:b w:val="1"/>
                <w:bCs w:val="1"/>
                <w:color w:val="auto"/>
              </w:rPr>
              <w:t>Interests</w:t>
            </w:r>
          </w:p>
        </w:tc>
        <w:tc>
          <w:tcPr>
            <w:tcW w:w="120" w:type="dxa"/>
            <w:vAlign w:val="bottom"/>
          </w:tcPr>
          <w:p>
            <w:pPr>
              <w:spacing w:after="0"/>
              <w:rPr>
                <w:sz w:val="13"/>
                <w:szCs w:val="13"/>
                <w:color w:val="auto"/>
              </w:rPr>
            </w:pPr>
          </w:p>
        </w:tc>
        <w:tc>
          <w:tcPr>
            <w:tcW w:w="1200" w:type="dxa"/>
            <w:vAlign w:val="bottom"/>
            <w:gridSpan w:val="2"/>
          </w:tcPr>
          <w:p>
            <w:pPr>
              <w:jc w:val="right"/>
              <w:spacing w:after="0" w:line="152" w:lineRule="exact"/>
              <w:rPr>
                <w:sz w:val="20"/>
                <w:szCs w:val="20"/>
                <w:color w:val="auto"/>
              </w:rPr>
            </w:pPr>
            <w:r>
              <w:rPr>
                <w:rFonts w:ascii="Arial" w:cs="Arial" w:eastAsia="Arial" w:hAnsi="Arial"/>
                <w:sz w:val="13"/>
                <w:szCs w:val="13"/>
                <w:b w:val="1"/>
                <w:bCs w:val="1"/>
                <w:color w:val="auto"/>
                <w:w w:val="96"/>
              </w:rPr>
              <w:t>Member's Equity</w:t>
            </w:r>
            <w:r>
              <w:rPr>
                <w:rFonts w:ascii="Arial" w:cs="Arial" w:eastAsia="Arial" w:hAnsi="Arial"/>
                <w:sz w:val="16"/>
                <w:szCs w:val="16"/>
                <w:b w:val="1"/>
                <w:bCs w:val="1"/>
                <w:color w:val="auto"/>
                <w:w w:val="96"/>
                <w:vertAlign w:val="superscript"/>
              </w:rPr>
              <w:t>(a)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0"/>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000" w:type="dxa"/>
            <w:vAlign w:val="bottom"/>
            <w:tcBorders>
              <w:top w:val="single" w:sz="8" w:color="auto"/>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395</w:t>
            </w:r>
          </w:p>
        </w:tc>
        <w:tc>
          <w:tcPr>
            <w:tcW w:w="2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gridSpan w:val="2"/>
          </w:tcPr>
          <w:p>
            <w:pPr>
              <w:spacing w:after="0" w:line="157" w:lineRule="exact"/>
              <w:rPr>
                <w:sz w:val="20"/>
                <w:szCs w:val="20"/>
                <w:color w:val="auto"/>
              </w:rPr>
            </w:pPr>
            <w:r>
              <w:rPr>
                <w:rFonts w:ascii="Arial" w:cs="Arial" w:eastAsia="Arial" w:hAnsi="Arial"/>
                <w:sz w:val="14"/>
                <w:szCs w:val="14"/>
                <w:color w:val="auto"/>
              </w:rPr>
              <w:t>Net income from January 1, 2022 to</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January 31, 2022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Separation-related adjustments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gridSpan w:val="2"/>
          </w:tcPr>
          <w:p>
            <w:pPr>
              <w:spacing w:after="0" w:line="157" w:lineRule="exact"/>
              <w:rPr>
                <w:sz w:val="20"/>
                <w:szCs w:val="20"/>
                <w:color w:val="auto"/>
              </w:rPr>
            </w:pPr>
            <w:r>
              <w:rPr>
                <w:rFonts w:ascii="Arial" w:cs="Arial" w:eastAsia="Arial" w:hAnsi="Arial"/>
                <w:sz w:val="14"/>
                <w:szCs w:val="14"/>
                <w:color w:val="auto"/>
              </w:rPr>
              <w:t>Changes in equity of noncontrolling</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interests from January 1, 2022 to</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January 31, 2022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Consummation of separation</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326,664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gridSpan w:val="2"/>
          </w:tcPr>
          <w:p>
            <w:pPr>
              <w:spacing w:after="0" w:line="157" w:lineRule="exact"/>
              <w:rPr>
                <w:sz w:val="20"/>
                <w:szCs w:val="20"/>
                <w:color w:val="auto"/>
              </w:rPr>
            </w:pPr>
            <w:r>
              <w:rPr>
                <w:rFonts w:ascii="Arial" w:cs="Arial" w:eastAsia="Arial" w:hAnsi="Arial"/>
                <w:sz w:val="14"/>
                <w:szCs w:val="14"/>
                <w:color w:val="auto"/>
              </w:rPr>
              <w:t>Net (loss) income from February 1,</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2022 to March 31, 2022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6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Employee incentive plan activity from</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February 1, 2022 to March 31, 2022</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dividends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00" w:type="dxa"/>
            <w:vAlign w:val="bottom"/>
            <w:gridSpan w:val="2"/>
          </w:tcPr>
          <w:p>
            <w:pPr>
              <w:spacing w:after="0" w:line="143" w:lineRule="exact"/>
              <w:rPr>
                <w:sz w:val="20"/>
                <w:szCs w:val="20"/>
                <w:color w:val="auto"/>
              </w:rPr>
            </w:pPr>
            <w:r>
              <w:rPr>
                <w:rFonts w:ascii="Arial" w:cs="Arial" w:eastAsia="Arial" w:hAnsi="Arial"/>
                <w:sz w:val="14"/>
                <w:szCs w:val="14"/>
                <w:color w:val="auto"/>
              </w:rPr>
              <w:t>($0.14/common share) from February 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2022 to March 31, 2022</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6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Other comprehensive income, net of</w:t>
            </w: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 from February 1, 2022 to</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2022</w:t>
            </w: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Balance, March 31, 2022</w:t>
            </w:r>
          </w:p>
        </w:tc>
        <w:tc>
          <w:tcPr>
            <w:tcW w:w="960" w:type="dxa"/>
            <w:vAlign w:val="bottom"/>
          </w:tcPr>
          <w:p>
            <w:pPr>
              <w:jc w:val="right"/>
              <w:spacing w:after="0"/>
              <w:rPr>
                <w:sz w:val="20"/>
                <w:szCs w:val="20"/>
                <w:color w:val="auto"/>
              </w:rPr>
            </w:pPr>
            <w:r>
              <w:rPr>
                <w:rFonts w:ascii="Arial" w:cs="Arial" w:eastAsia="Arial" w:hAnsi="Arial"/>
                <w:sz w:val="14"/>
                <w:szCs w:val="14"/>
                <w:color w:val="auto"/>
              </w:rPr>
              <w:t>326,699</w:t>
            </w:r>
          </w:p>
        </w:tc>
        <w:tc>
          <w:tcPr>
            <w:tcW w:w="4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13,212</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28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(2,016)</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400</w:t>
            </w:r>
          </w:p>
        </w:tc>
        <w:tc>
          <w:tcPr>
            <w:tcW w:w="28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11,505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Employee incentive plans</w:t>
            </w:r>
          </w:p>
        </w:tc>
        <w:tc>
          <w:tcPr>
            <w:tcW w:w="9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1"/>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6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Changes in equity of noncontrolling</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interests</w:t>
            </w: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0" w:type="dxa"/>
            <w:vAlign w:val="bottom"/>
            <w:gridSpan w:val="2"/>
          </w:tcPr>
          <w:p>
            <w:pPr>
              <w:spacing w:after="0" w:line="157" w:lineRule="exact"/>
              <w:rPr>
                <w:sz w:val="20"/>
                <w:szCs w:val="20"/>
                <w:color w:val="auto"/>
              </w:rPr>
            </w:pPr>
            <w:r>
              <w:rPr>
                <w:rFonts w:ascii="Arial" w:cs="Arial" w:eastAsia="Arial" w:hAnsi="Arial"/>
                <w:sz w:val="14"/>
                <w:szCs w:val="14"/>
                <w:color w:val="auto"/>
              </w:rPr>
              <w:t>Common stock dividends</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($0.14/common share)</w:t>
            </w: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6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Other comprehensive income, net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taxes</w:t>
            </w: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Balance, June 30, 2022</w:t>
            </w:r>
          </w:p>
        </w:tc>
        <w:tc>
          <w:tcPr>
            <w:tcW w:w="960" w:type="dxa"/>
            <w:vAlign w:val="bottom"/>
          </w:tcPr>
          <w:p>
            <w:pPr>
              <w:jc w:val="right"/>
              <w:spacing w:after="0"/>
              <w:rPr>
                <w:sz w:val="20"/>
                <w:szCs w:val="20"/>
                <w:color w:val="auto"/>
              </w:rPr>
            </w:pPr>
            <w:r>
              <w:rPr>
                <w:rFonts w:ascii="Arial" w:cs="Arial" w:eastAsia="Arial" w:hAnsi="Arial"/>
                <w:sz w:val="14"/>
                <w:szCs w:val="14"/>
                <w:color w:val="auto"/>
              </w:rPr>
              <w:t>326,845</w:t>
            </w:r>
          </w:p>
        </w:tc>
        <w:tc>
          <w:tcPr>
            <w:tcW w:w="4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13,241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(249)</w:t>
            </w:r>
          </w:p>
        </w:tc>
        <w:tc>
          <w:tcPr>
            <w:tcW w:w="28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(1,992)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389</w:t>
            </w:r>
          </w:p>
        </w:tc>
        <w:tc>
          <w:tcPr>
            <w:tcW w:w="28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line="285"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Constellation’s predecessor member's equity prior to the separation transaction. Upon completion of the separation, the predecessor member's equity was transferred to CEG Parent’s Common stock. See Note 1 — Basis of Presentation for additional information on the separation.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Operations and Comprehensive Income</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jc w:val="right"/>
              <w:ind w:right="33"/>
              <w:spacing w:after="0"/>
              <w:rPr>
                <w:sz w:val="20"/>
                <w:szCs w:val="20"/>
                <w:color w:val="auto"/>
              </w:rPr>
            </w:pPr>
            <w:r>
              <w:rPr>
                <w:rFonts w:ascii="Arial" w:cs="Arial" w:eastAsia="Arial" w:hAnsi="Arial"/>
                <w:sz w:val="13"/>
                <w:szCs w:val="13"/>
                <w:b w:val="1"/>
                <w:bCs w:val="1"/>
                <w:color w:val="auto"/>
                <w:w w:val="95"/>
              </w:rPr>
              <w:t>Three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4"/>
          </w:tcPr>
          <w:p>
            <w:pPr>
              <w:jc w:val="right"/>
              <w:ind w:right="113"/>
              <w:spacing w:after="0"/>
              <w:rPr>
                <w:sz w:val="20"/>
                <w:szCs w:val="20"/>
                <w:color w:val="auto"/>
              </w:rPr>
            </w:pPr>
            <w:r>
              <w:rPr>
                <w:rFonts w:ascii="Arial" w:cs="Arial" w:eastAsia="Arial" w:hAnsi="Arial"/>
                <w:sz w:val="13"/>
                <w:szCs w:val="13"/>
                <w:b w:val="1"/>
                <w:bCs w:val="1"/>
                <w:color w:val="auto"/>
                <w:w w:val="97"/>
              </w:rPr>
              <w:t>Six Months Ended June 30,</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3"/>
                <w:szCs w:val="13"/>
                <w:color w:val="auto"/>
              </w:rPr>
            </w:pPr>
          </w:p>
        </w:tc>
        <w:tc>
          <w:tcPr>
            <w:tcW w:w="840" w:type="dxa"/>
            <w:vAlign w:val="bottom"/>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5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7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revenues</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Arial" w:cs="Arial" w:eastAsia="Arial" w:hAnsi="Arial"/>
                <w:sz w:val="13"/>
                <w:szCs w:val="13"/>
                <w:color w:val="auto"/>
              </w:rPr>
              <w:t>Operating revenues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5,446</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5,465</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13,011</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10,896</w:t>
            </w: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7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3"/>
                <w:szCs w:val="13"/>
                <w:color w:val="auto"/>
              </w:rPr>
              <w:t>Operating revenues from affiliates</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040" w:type="dxa"/>
            <w:vAlign w:val="bottom"/>
            <w:gridSpan w:val="2"/>
          </w:tcPr>
          <w:p>
            <w:pPr>
              <w:ind w:left="640"/>
              <w:spacing w:after="0"/>
              <w:rPr>
                <w:sz w:val="20"/>
                <w:szCs w:val="20"/>
                <w:color w:val="auto"/>
              </w:rPr>
            </w:pPr>
            <w:r>
              <w:rPr>
                <w:rFonts w:ascii="Arial" w:cs="Arial" w:eastAsia="Arial" w:hAnsi="Arial"/>
                <w:sz w:val="13"/>
                <w:szCs w:val="13"/>
                <w:color w:val="auto"/>
              </w:rPr>
              <w:t>Total operating revenues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5,446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13,011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11,056</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Arial" w:cs="Arial" w:eastAsia="Arial" w:hAnsi="Arial"/>
                <w:sz w:val="13"/>
                <w:szCs w:val="13"/>
                <w:color w:val="auto"/>
              </w:rPr>
              <w:t>Purchased power and fuel</w:t>
            </w:r>
          </w:p>
        </w:tc>
        <w:tc>
          <w:tcPr>
            <w:tcW w:w="10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2,887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7,054</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Purchased power and fuel from affiliates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Arial" w:cs="Arial" w:eastAsia="Arial" w:hAnsi="Arial"/>
                <w:sz w:val="13"/>
                <w:szCs w:val="13"/>
                <w:color w:val="auto"/>
              </w:rPr>
              <w:t>Operating and maintenance</w:t>
            </w:r>
          </w:p>
        </w:tc>
        <w:tc>
          <w:tcPr>
            <w:tcW w:w="10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1,477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2,433</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Operating and maintenance from affiliates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Taxes other than income taxes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040" w:type="dxa"/>
            <w:vAlign w:val="bottom"/>
            <w:gridSpan w:val="2"/>
          </w:tcPr>
          <w:p>
            <w:pPr>
              <w:ind w:left="640"/>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4,777</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12,337</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10,361</w:t>
            </w: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(Loss) gain on sales of assets and businesses</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6"/>
        </w:trPr>
        <w:tc>
          <w:tcPr>
            <w:tcW w:w="4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669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income and (deductions)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Arial" w:cs="Arial" w:eastAsia="Arial" w:hAnsi="Arial"/>
                <w:sz w:val="13"/>
                <w:szCs w:val="13"/>
                <w:color w:val="auto"/>
              </w:rPr>
              <w:t>Interest expense, net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Interest expense to affiliates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040" w:type="dxa"/>
            <w:vAlign w:val="bottom"/>
            <w:gridSpan w:val="2"/>
          </w:tcPr>
          <w:p>
            <w:pPr>
              <w:ind w:left="320"/>
              <w:spacing w:after="0"/>
              <w:rPr>
                <w:sz w:val="20"/>
                <w:szCs w:val="20"/>
                <w:color w:val="auto"/>
              </w:rPr>
            </w:pPr>
            <w:r>
              <w:rPr>
                <w:rFonts w:ascii="Arial" w:cs="Arial" w:eastAsia="Arial" w:hAnsi="Arial"/>
                <w:sz w:val="13"/>
                <w:szCs w:val="13"/>
                <w:color w:val="auto"/>
              </w:rPr>
              <w:t>Other, net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605</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w:t>
            </w:r>
          </w:p>
        </w:tc>
        <w:tc>
          <w:tcPr>
            <w:tcW w:w="0" w:type="dxa"/>
            <w:vAlign w:val="bottom"/>
          </w:tcPr>
          <w:p>
            <w:pPr>
              <w:spacing w:after="0"/>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7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3"/>
                <w:szCs w:val="13"/>
                <w:color w:val="auto"/>
              </w:rPr>
              <w:t>Total other income and (deductions)</w:t>
            </w: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502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Income (loss) before income taxes</w:t>
            </w:r>
          </w:p>
        </w:tc>
        <w:tc>
          <w:tcPr>
            <w:tcW w:w="100" w:type="dxa"/>
            <w:vAlign w:val="bottom"/>
          </w:tcPr>
          <w:p>
            <w:pPr>
              <w:spacing w:after="0"/>
              <w:rPr>
                <w:sz w:val="16"/>
                <w:szCs w:val="16"/>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1,171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Income taxes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Equity in losses of unconsolidated affiliates</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824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Net (loss) income attributable to noncontrolling interests</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(loss) attributable to membership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Comprehensive income (loss), net of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vMerge w:val="continue"/>
          </w:tcPr>
          <w:p>
            <w:pPr>
              <w:spacing w:after="0"/>
              <w:rPr>
                <w:sz w:val="11"/>
                <w:szCs w:val="11"/>
                <w:color w:val="auto"/>
              </w:rPr>
            </w:pPr>
          </w:p>
        </w:tc>
        <w:tc>
          <w:tcPr>
            <w:tcW w:w="7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824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3"/>
                <w:szCs w:val="13"/>
                <w:b w:val="1"/>
                <w:bCs w:val="1"/>
                <w:color w:val="auto"/>
              </w:rPr>
              <w:t>Other comprehensive income (loss), net of income taxes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Pension and non-pension postretirement benefit plans: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40" w:type="dxa"/>
            <w:vAlign w:val="bottom"/>
            <w:gridSpan w:val="2"/>
          </w:tcPr>
          <w:p>
            <w:pPr>
              <w:ind w:left="640"/>
              <w:spacing w:after="0"/>
              <w:rPr>
                <w:sz w:val="20"/>
                <w:szCs w:val="20"/>
                <w:color w:val="auto"/>
              </w:rPr>
            </w:pPr>
            <w:r>
              <w:rPr>
                <w:rFonts w:ascii="Arial" w:cs="Arial" w:eastAsia="Arial" w:hAnsi="Arial"/>
                <w:sz w:val="13"/>
                <w:szCs w:val="13"/>
                <w:color w:val="auto"/>
              </w:rPr>
              <w:t>Prior service benefit reclassified to periodic benefit cost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Actuarial loss reclassified to periodic cost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40" w:type="dxa"/>
            <w:vAlign w:val="bottom"/>
            <w:gridSpan w:val="2"/>
          </w:tcPr>
          <w:p>
            <w:pPr>
              <w:ind w:left="640"/>
              <w:spacing w:after="0"/>
              <w:rPr>
                <w:sz w:val="20"/>
                <w:szCs w:val="20"/>
                <w:color w:val="auto"/>
              </w:rPr>
            </w:pPr>
            <w:r>
              <w:rPr>
                <w:rFonts w:ascii="Arial" w:cs="Arial" w:eastAsia="Arial" w:hAnsi="Arial"/>
                <w:sz w:val="13"/>
                <w:szCs w:val="13"/>
                <w:color w:val="auto"/>
              </w:rPr>
              <w:t>Pension and non-pension postretirement benefit plan valuation adjustment</w:t>
            </w:r>
          </w:p>
        </w:tc>
        <w:tc>
          <w:tcPr>
            <w:tcW w:w="10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Unrealized gain (loss) on foreign currency translation</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6"/>
        </w:trPr>
        <w:tc>
          <w:tcPr>
            <w:tcW w:w="4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ind w:left="640"/>
              <w:spacing w:after="0"/>
              <w:rPr>
                <w:sz w:val="20"/>
                <w:szCs w:val="20"/>
                <w:color w:val="auto"/>
              </w:rPr>
            </w:pPr>
            <w:r>
              <w:rPr>
                <w:rFonts w:ascii="Arial" w:cs="Arial" w:eastAsia="Arial" w:hAnsi="Arial"/>
                <w:sz w:val="13"/>
                <w:szCs w:val="13"/>
                <w:color w:val="auto"/>
              </w:rPr>
              <w:t>Other comprehensive income (loss), net of income taxes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 (loss)</w:t>
            </w: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832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6"/>
        </w:trPr>
        <w:tc>
          <w:tcPr>
            <w:tcW w:w="4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Comprehensive (loss) income attributable to noncontrolling interests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Comprehensive income (loss) attributable to membership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841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840" w:type="dxa"/>
            <w:vAlign w:val="bottom"/>
            <w:gridSpan w:val="2"/>
          </w:tcPr>
          <w:p>
            <w:pPr>
              <w:ind w:left="12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926</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(loss) to net cash flows (used in) provided by operating activities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Depreciation, amortization, and accretion, including nuclear fuel and energy contract amortization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1,207</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Gain on sales of assets and businesses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Deferred income taxes and amortization of ITCs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(707)</w:t>
            </w:r>
          </w:p>
        </w:tc>
      </w:tr>
      <w:tr>
        <w:trPr>
          <w:trHeight w:val="209"/>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fair value changes related to derivatives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Net realized and unrealized (gains) losses on NDT funds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realized and unrealized (gains) losses on equity investments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Other non-cash operating activities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Receivables from and payables to affiliates, net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96"/>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9"/>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Option premiums paid, net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Collateral (posted) received,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r>
      <w:tr>
        <w:trPr>
          <w:trHeight w:val="197"/>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Pension and non-pension postretirement benefit contributions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202"/>
        </w:trPr>
        <w:tc>
          <w:tcPr>
            <w:tcW w:w="20" w:type="dxa"/>
            <w:vAlign w:val="bottom"/>
          </w:tcPr>
          <w:p>
            <w:pPr>
              <w:spacing w:after="0"/>
              <w:rPr>
                <w:sz w:val="17"/>
                <w:szCs w:val="17"/>
                <w:color w:val="auto"/>
              </w:rPr>
            </w:pPr>
          </w:p>
        </w:tc>
        <w:tc>
          <w:tcPr>
            <w:tcW w:w="8840" w:type="dxa"/>
            <w:vAlign w:val="bottom"/>
            <w:gridSpan w:val="2"/>
          </w:tcPr>
          <w:p>
            <w:pPr>
              <w:ind w:left="540"/>
              <w:spacing w:after="0"/>
              <w:rPr>
                <w:sz w:val="20"/>
                <w:szCs w:val="20"/>
                <w:color w:val="auto"/>
              </w:rPr>
            </w:pPr>
            <w:r>
              <w:rPr>
                <w:rFonts w:ascii="Arial" w:cs="Arial" w:eastAsia="Arial" w:hAnsi="Arial"/>
                <w:sz w:val="14"/>
                <w:szCs w:val="14"/>
                <w:color w:val="auto"/>
              </w:rPr>
              <w:t>Other assets and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w:t>
            </w: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flows (used in)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w:t>
            </w:r>
          </w:p>
        </w:tc>
      </w:tr>
      <w:tr>
        <w:trPr>
          <w:trHeight w:val="182"/>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Proceeds from NDT fund sales</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2,188</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Investment in NDT funds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Collection of DPP, net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1,595</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sales of assets and businesses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20" w:type="dxa"/>
            <w:vAlign w:val="bottom"/>
            <w:tcBorders>
              <w:bottom w:val="single" w:sz="8" w:color="CCEEFF"/>
            </w:tcBorders>
          </w:tcPr>
          <w:p>
            <w:pPr>
              <w:spacing w:after="0"/>
              <w:rPr>
                <w:sz w:val="17"/>
                <w:szCs w:val="17"/>
                <w:color w:val="auto"/>
              </w:rPr>
            </w:pPr>
          </w:p>
        </w:tc>
        <w:tc>
          <w:tcPr>
            <w:tcW w:w="88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8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cash flows provided by investing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95"/>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Change in short-term borrowings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w:t>
            </w:r>
          </w:p>
        </w:tc>
      </w:tr>
      <w:tr>
        <w:trPr>
          <w:trHeight w:val="196"/>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Proceeds from short-term borrowings with maturities greater than 90 days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Repayments of short-term borrowings with maturities greater than 90 days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w:t>
            </w:r>
          </w:p>
        </w:tc>
      </w:tr>
      <w:tr>
        <w:trPr>
          <w:trHeight w:val="189"/>
        </w:trPr>
        <w:tc>
          <w:tcPr>
            <w:tcW w:w="20" w:type="dxa"/>
            <w:vAlign w:val="bottom"/>
          </w:tcPr>
          <w:p>
            <w:pPr>
              <w:spacing w:after="0"/>
              <w:rPr>
                <w:sz w:val="16"/>
                <w:szCs w:val="16"/>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Issuance of long-term debt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Retirement of long-term debt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r>
      <w:tr>
        <w:trPr>
          <w:trHeight w:val="197"/>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Retirement of long-term debt to affiliate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95"/>
        </w:trPr>
        <w:tc>
          <w:tcPr>
            <w:tcW w:w="20" w:type="dxa"/>
            <w:vAlign w:val="bottom"/>
            <w:shd w:val="clear" w:color="auto" w:fill="CCEEFF"/>
          </w:tcPr>
          <w:p>
            <w:pPr>
              <w:spacing w:after="0"/>
              <w:rPr>
                <w:sz w:val="16"/>
                <w:szCs w:val="16"/>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Distributions to member</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97"/>
        </w:trPr>
        <w:tc>
          <w:tcPr>
            <w:tcW w:w="20" w:type="dxa"/>
            <w:vAlign w:val="bottom"/>
          </w:tcPr>
          <w:p>
            <w:pPr>
              <w:spacing w:after="0"/>
              <w:rPr>
                <w:sz w:val="17"/>
                <w:szCs w:val="17"/>
                <w:color w:val="auto"/>
              </w:rPr>
            </w:pPr>
          </w:p>
        </w:tc>
        <w:tc>
          <w:tcPr>
            <w:tcW w:w="8840" w:type="dxa"/>
            <w:vAlign w:val="bottom"/>
            <w:gridSpan w:val="2"/>
          </w:tcPr>
          <w:p>
            <w:pPr>
              <w:ind w:left="340"/>
              <w:spacing w:after="0"/>
              <w:rPr>
                <w:sz w:val="20"/>
                <w:szCs w:val="20"/>
                <w:color w:val="auto"/>
              </w:rPr>
            </w:pPr>
            <w:r>
              <w:rPr>
                <w:rFonts w:ascii="Arial" w:cs="Arial" w:eastAsia="Arial" w:hAnsi="Arial"/>
                <w:sz w:val="14"/>
                <w:szCs w:val="14"/>
                <w:color w:val="auto"/>
              </w:rPr>
              <w:t>Contributions from Exelon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8"/>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Net cash flows provided by (used in) financing activities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w:t>
            </w: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(Decrease) increase in cash, restricted cash, and cash equivalents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Cash, restricted cash, and cash equivalents at beginning of period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w:t>
            </w:r>
          </w:p>
        </w:tc>
      </w:tr>
      <w:tr>
        <w:trPr>
          <w:trHeight w:val="216"/>
        </w:trPr>
        <w:tc>
          <w:tcPr>
            <w:tcW w:w="2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restricted cash, and cash equivalents at end of period</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Decrease in capital expenditures not paid</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203"/>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in DPP</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r>
      <w:tr>
        <w:trPr>
          <w:trHeight w:val="190"/>
        </w:trPr>
        <w:tc>
          <w:tcPr>
            <w:tcW w:w="2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Increase in PP&amp;E related to ARO update</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333</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3"/>
                <w:szCs w:val="13"/>
                <w:color w:val="auto"/>
              </w:rPr>
            </w:pPr>
          </w:p>
        </w:tc>
        <w:tc>
          <w:tcPr>
            <w:tcW w:w="1660" w:type="dxa"/>
            <w:vAlign w:val="bottom"/>
          </w:tcPr>
          <w:p>
            <w:pPr>
              <w:jc w:val="right"/>
              <w:ind w:right="52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jc w:val="right"/>
              <w:ind w:right="34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360" w:type="dxa"/>
            <w:vAlign w:val="bottom"/>
            <w:shd w:val="clear" w:color="auto" w:fill="CCEEFF"/>
          </w:tcPr>
          <w:p>
            <w:pPr>
              <w:ind w:left="250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Restricted cash and cash equivalents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60" w:type="dxa"/>
            <w:vAlign w:val="bottom"/>
            <w:gridSpan w:val="2"/>
          </w:tcPr>
          <w:p>
            <w:pPr>
              <w:ind w:left="640"/>
              <w:spacing w:after="0" w:line="165" w:lineRule="exact"/>
              <w:rPr>
                <w:sz w:val="20"/>
                <w:szCs w:val="20"/>
                <w:color w:val="auto"/>
              </w:rPr>
            </w:pPr>
            <w:r>
              <w:rPr>
                <w:rFonts w:ascii="Arial" w:cs="Arial" w:eastAsia="Arial" w:hAnsi="Arial"/>
                <w:sz w:val="16"/>
                <w:szCs w:val="16"/>
                <w:color w:val="auto"/>
              </w:rPr>
              <w:t>Customer accounts receivable (net of allowance for credit losses of $51 and $46 as of</w:t>
            </w:r>
          </w:p>
        </w:tc>
        <w:tc>
          <w:tcPr>
            <w:tcW w:w="34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2"/>
          </w:tcPr>
          <w:p>
            <w:pPr>
              <w:ind w:left="640"/>
              <w:spacing w:after="0"/>
              <w:rPr>
                <w:sz w:val="20"/>
                <w:szCs w:val="20"/>
                <w:color w:val="auto"/>
              </w:rPr>
            </w:pPr>
            <w:r>
              <w:rPr>
                <w:rFonts w:ascii="Arial" w:cs="Arial" w:eastAsia="Arial" w:hAnsi="Arial"/>
                <w:sz w:val="16"/>
                <w:szCs w:val="16"/>
                <w:color w:val="auto"/>
              </w:rPr>
              <w:t>June 30, 2023 and December 31, 2022, respectively)</w:t>
            </w:r>
          </w:p>
        </w:tc>
        <w:tc>
          <w:tcPr>
            <w:tcW w:w="3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060" w:type="dxa"/>
            <w:vAlign w:val="bottom"/>
            <w:gridSpan w:val="2"/>
            <w:shd w:val="clear" w:color="auto" w:fill="CCEEFF"/>
          </w:tcPr>
          <w:p>
            <w:pPr>
              <w:ind w:left="640"/>
              <w:spacing w:after="0" w:line="168" w:lineRule="exact"/>
              <w:rPr>
                <w:sz w:val="20"/>
                <w:szCs w:val="20"/>
                <w:color w:val="auto"/>
              </w:rPr>
            </w:pPr>
            <w:r>
              <w:rPr>
                <w:rFonts w:ascii="Arial" w:cs="Arial" w:eastAsia="Arial" w:hAnsi="Arial"/>
                <w:sz w:val="16"/>
                <w:szCs w:val="16"/>
                <w:color w:val="auto"/>
              </w:rPr>
              <w:t>Other accounts receivable (net of allowance for credit losses of $5 as of June 30, 2023</w:t>
            </w:r>
          </w:p>
        </w:tc>
        <w:tc>
          <w:tcPr>
            <w:tcW w:w="34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and December 31, 2022)</w:t>
            </w:r>
          </w:p>
        </w:tc>
        <w:tc>
          <w:tcPr>
            <w:tcW w:w="34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Mark-to-market derivative assets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Receivables from affiliates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Natural gas, oil, and emission allowances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640"/>
              <w:spacing w:after="0"/>
              <w:rPr>
                <w:sz w:val="20"/>
                <w:szCs w:val="20"/>
                <w:color w:val="auto"/>
              </w:rPr>
            </w:pPr>
            <w:r>
              <w:rPr>
                <w:rFonts w:ascii="Arial" w:cs="Arial" w:eastAsia="Arial" w:hAnsi="Arial"/>
                <w:sz w:val="16"/>
                <w:szCs w:val="16"/>
                <w:color w:val="auto"/>
              </w:rPr>
              <w:t>Materials and supplies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Renewable energy credits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9,320</w:t>
            </w:r>
          </w:p>
        </w:tc>
        <w:tc>
          <w:tcPr>
            <w:tcW w:w="0" w:type="dxa"/>
            <w:vAlign w:val="bottom"/>
          </w:tcPr>
          <w:p>
            <w:pPr>
              <w:spacing w:after="0"/>
              <w:rPr>
                <w:sz w:val="1"/>
                <w:szCs w:val="1"/>
                <w:color w:val="auto"/>
              </w:rPr>
            </w:pPr>
          </w:p>
        </w:tc>
      </w:tr>
      <w:tr>
        <w:trPr>
          <w:trHeight w:val="142"/>
        </w:trPr>
        <w:tc>
          <w:tcPr>
            <w:tcW w:w="708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Property, plant, and equipment (net of accumulated depreciation and amortization of</w:t>
            </w:r>
          </w:p>
        </w:tc>
        <w:tc>
          <w:tcPr>
            <w:tcW w:w="34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20,239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19,822</w:t>
            </w:r>
          </w:p>
        </w:tc>
        <w:tc>
          <w:tcPr>
            <w:tcW w:w="0" w:type="dxa"/>
            <w:vAlign w:val="bottom"/>
          </w:tcPr>
          <w:p>
            <w:pPr>
              <w:spacing w:after="0"/>
              <w:rPr>
                <w:sz w:val="1"/>
                <w:szCs w:val="1"/>
                <w:color w:val="auto"/>
              </w:rPr>
            </w:pPr>
          </w:p>
        </w:tc>
      </w:tr>
      <w:tr>
        <w:trPr>
          <w:trHeight w:val="216"/>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$16,923 and $16,726 as of June 30, 2023 and December 31, 2022, respectively)</w:t>
            </w:r>
          </w:p>
        </w:tc>
        <w:tc>
          <w:tcPr>
            <w:tcW w:w="3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Deferred debits and other assets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Nuclear decommissioning trust funds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14,821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14,114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Investments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Mark-to-market derivative assets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Total deferred debits and 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17,727</w:t>
            </w:r>
          </w:p>
        </w:tc>
        <w:tc>
          <w:tcPr>
            <w:tcW w:w="0" w:type="dxa"/>
            <w:vAlign w:val="bottom"/>
          </w:tcPr>
          <w:p>
            <w:pPr>
              <w:spacing w:after="0"/>
              <w:rPr>
                <w:sz w:val="1"/>
                <w:szCs w:val="1"/>
                <w:color w:val="auto"/>
              </w:rPr>
            </w:pPr>
          </w:p>
        </w:tc>
      </w:tr>
      <w:tr>
        <w:trPr>
          <w:trHeight w:val="210"/>
        </w:trPr>
        <w:tc>
          <w:tcPr>
            <w:tcW w:w="7080" w:type="dxa"/>
            <w:vAlign w:val="bottom"/>
            <w:gridSpan w:val="3"/>
          </w:tcPr>
          <w:p>
            <w:pPr>
              <w:ind w:left="20"/>
              <w:spacing w:after="0" w:line="210" w:lineRule="exact"/>
              <w:rPr>
                <w:sz w:val="20"/>
                <w:szCs w:val="20"/>
                <w:color w:val="auto"/>
              </w:rPr>
            </w:pPr>
            <w:r>
              <w:rPr>
                <w:rFonts w:ascii="Arial" w:cs="Arial" w:eastAsia="Arial" w:hAnsi="Arial"/>
                <w:sz w:val="16"/>
                <w:szCs w:val="16"/>
                <w:b w:val="1"/>
                <w:bCs w:val="1"/>
                <w:color w:val="auto"/>
              </w:rPr>
              <w:t>Total assets</w:t>
            </w:r>
            <w:r>
              <w:rPr>
                <w:rFonts w:ascii="Arial" w:cs="Arial" w:eastAsia="Arial" w:hAnsi="Arial"/>
                <w:sz w:val="21"/>
                <w:szCs w:val="21"/>
                <w:b w:val="1"/>
                <w:bCs w:val="1"/>
                <w:color w:val="auto"/>
                <w:vertAlign w:val="superscript"/>
              </w:rPr>
              <w:t>(a)</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46,534</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46,869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Constellation Energy Generation, LLC and Subsidiary Companies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708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3"/>
                <w:szCs w:val="13"/>
                <w:color w:val="auto"/>
              </w:rPr>
            </w:pPr>
          </w:p>
        </w:tc>
        <w:tc>
          <w:tcPr>
            <w:tcW w:w="1660" w:type="dxa"/>
            <w:vAlign w:val="bottom"/>
          </w:tcPr>
          <w:p>
            <w:pPr>
              <w:jc w:val="right"/>
              <w:ind w:right="52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jc w:val="right"/>
              <w:ind w:right="340"/>
              <w:spacing w:after="0"/>
              <w:rPr>
                <w:sz w:val="20"/>
                <w:szCs w:val="20"/>
                <w:color w:val="auto"/>
              </w:rPr>
            </w:pPr>
            <w:r>
              <w:rPr>
                <w:rFonts w:ascii="Arial" w:cs="Arial" w:eastAsia="Arial" w:hAnsi="Arial"/>
                <w:sz w:val="13"/>
                <w:szCs w:val="13"/>
                <w:b w:val="1"/>
                <w:bCs w:val="1"/>
                <w:color w:val="auto"/>
              </w:rPr>
              <w:t>December 31, 2022</w:t>
            </w: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360" w:type="dxa"/>
            <w:vAlign w:val="bottom"/>
            <w:shd w:val="clear" w:color="auto" w:fill="CCEEFF"/>
          </w:tcPr>
          <w:p>
            <w:pPr>
              <w:ind w:left="184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Short-term borrowings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Long-term debt due within one year</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2,810</w:t>
            </w: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Payables to affiliates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Mark-to-market derivative liabilities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1,558</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Renewable energy credit obligation</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13"/>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12"/>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7,829</w:t>
            </w:r>
          </w:p>
        </w:tc>
      </w:tr>
      <w:tr>
        <w:trPr>
          <w:trHeight w:val="210"/>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Long-term debt</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4,466</w:t>
            </w:r>
          </w:p>
        </w:tc>
      </w:tr>
      <w:tr>
        <w:trPr>
          <w:trHeight w:val="21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Deferred credits and other liabilities</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Deferred income taxes and unamortized ITCs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3,031</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12,699</w:t>
            </w: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Pension obligations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Non-pension postretirement benefit obligations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Spent nuclear fuel obligation</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1,230</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Payables related to Regulatory Agreement Units</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w:t>
            </w: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Mark-to-market derivative liabilities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r>
      <w:tr>
        <w:trPr>
          <w:trHeight w:val="206"/>
        </w:trPr>
        <w:tc>
          <w:tcPr>
            <w:tcW w:w="20" w:type="dxa"/>
            <w:vAlign w:val="bottom"/>
            <w:tcBorders>
              <w:bottom w:val="single" w:sz="8" w:color="CCEEFF"/>
            </w:tcBorders>
          </w:tcPr>
          <w:p>
            <w:pPr>
              <w:spacing w:after="0"/>
              <w:rPr>
                <w:sz w:val="17"/>
                <w:szCs w:val="17"/>
                <w:color w:val="auto"/>
              </w:rPr>
            </w:pPr>
          </w:p>
        </w:tc>
        <w:tc>
          <w:tcPr>
            <w:tcW w:w="7060" w:type="dxa"/>
            <w:vAlign w:val="bottom"/>
            <w:tcBorders>
              <w:bottom w:val="single" w:sz="8" w:color="CCEEFF"/>
            </w:tcBorders>
            <w:gridSpan w:val="2"/>
          </w:tcPr>
          <w:p>
            <w:pPr>
              <w:ind w:left="640"/>
              <w:spacing w:after="0"/>
              <w:rPr>
                <w:sz w:val="20"/>
                <w:szCs w:val="20"/>
                <w:color w:val="auto"/>
              </w:rPr>
            </w:pPr>
            <w:r>
              <w:rPr>
                <w:rFonts w:ascii="Arial" w:cs="Arial" w:eastAsia="Arial" w:hAnsi="Arial"/>
                <w:sz w:val="16"/>
                <w:szCs w:val="16"/>
                <w:color w:val="auto"/>
              </w:rPr>
              <w:t>Total deferred credits and other liabilities</w:t>
            </w: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23,160</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640"/>
              <w:spacing w:after="0" w:line="213" w:lineRule="exact"/>
              <w:rPr>
                <w:sz w:val="20"/>
                <w:szCs w:val="20"/>
                <w:color w:val="auto"/>
              </w:rPr>
            </w:pPr>
            <w:r>
              <w:rPr>
                <w:rFonts w:ascii="Arial" w:cs="Arial" w:eastAsia="Arial" w:hAnsi="Arial"/>
                <w:sz w:val="16"/>
                <w:szCs w:val="16"/>
                <w:color w:val="auto"/>
              </w:rPr>
              <w:t>Total liabilities</w:t>
            </w:r>
            <w:r>
              <w:rPr>
                <w:rFonts w:ascii="Arial" w:cs="Arial" w:eastAsia="Arial" w:hAnsi="Arial"/>
                <w:sz w:val="21"/>
                <w:szCs w:val="21"/>
                <w:color w:val="auto"/>
                <w:vertAlign w:val="superscript"/>
              </w:rPr>
              <w:t>(a)</w:t>
            </w:r>
          </w:p>
        </w:tc>
        <w:tc>
          <w:tcPr>
            <w:tcW w:w="3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35,455</w:t>
            </w:r>
          </w:p>
        </w:tc>
      </w:tr>
      <w:tr>
        <w:trPr>
          <w:trHeight w:val="196"/>
        </w:trPr>
        <w:tc>
          <w:tcPr>
            <w:tcW w:w="708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Commitments and contingencies (Note 13)</w:t>
            </w: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60" w:type="dxa"/>
            <w:vAlign w:val="bottom"/>
            <w:gridSpan w:val="2"/>
          </w:tcPr>
          <w:p>
            <w:pPr>
              <w:ind w:left="320"/>
              <w:spacing w:after="0"/>
              <w:rPr>
                <w:sz w:val="20"/>
                <w:szCs w:val="20"/>
                <w:color w:val="auto"/>
              </w:rPr>
            </w:pPr>
            <w:r>
              <w:rPr>
                <w:rFonts w:ascii="Arial" w:cs="Arial" w:eastAsia="Arial" w:hAnsi="Arial"/>
                <w:sz w:val="16"/>
                <w:szCs w:val="16"/>
                <w:color w:val="auto"/>
              </w:rPr>
              <w:t>Member’s equity</w:t>
            </w:r>
          </w:p>
        </w:tc>
        <w:tc>
          <w:tcPr>
            <w:tcW w:w="3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Membership interest</w:t>
            </w: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w:t>
            </w:r>
          </w:p>
        </w:tc>
      </w:tr>
      <w:tr>
        <w:trPr>
          <w:trHeight w:val="213"/>
        </w:trPr>
        <w:tc>
          <w:tcPr>
            <w:tcW w:w="20" w:type="dxa"/>
            <w:vAlign w:val="bottom"/>
          </w:tcPr>
          <w:p>
            <w:pPr>
              <w:spacing w:after="0"/>
              <w:rPr>
                <w:sz w:val="18"/>
                <w:szCs w:val="18"/>
                <w:color w:val="auto"/>
              </w:rPr>
            </w:pPr>
          </w:p>
        </w:tc>
        <w:tc>
          <w:tcPr>
            <w:tcW w:w="7060" w:type="dxa"/>
            <w:vAlign w:val="bottom"/>
            <w:gridSpan w:val="2"/>
          </w:tcPr>
          <w:p>
            <w:pPr>
              <w:ind w:left="640"/>
              <w:spacing w:after="0"/>
              <w:rPr>
                <w:sz w:val="20"/>
                <w:szCs w:val="20"/>
                <w:color w:val="auto"/>
              </w:rPr>
            </w:pPr>
            <w:r>
              <w:rPr>
                <w:rFonts w:ascii="Arial" w:cs="Arial" w:eastAsia="Arial" w:hAnsi="Arial"/>
                <w:sz w:val="16"/>
                <w:szCs w:val="16"/>
                <w:color w:val="auto"/>
              </w:rPr>
              <w:t>Undistributed earnings</w:t>
            </w:r>
          </w:p>
        </w:tc>
        <w:tc>
          <w:tcPr>
            <w:tcW w:w="3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Accumulated other comprehensive loss, net</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w:t>
            </w: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360" w:type="dxa"/>
            <w:vAlign w:val="bottom"/>
          </w:tcPr>
          <w:p>
            <w:pPr>
              <w:ind w:left="380"/>
              <w:spacing w:after="0"/>
              <w:rPr>
                <w:sz w:val="20"/>
                <w:szCs w:val="20"/>
                <w:color w:val="auto"/>
              </w:rPr>
            </w:pPr>
            <w:r>
              <w:rPr>
                <w:rFonts w:ascii="Arial" w:cs="Arial" w:eastAsia="Arial" w:hAnsi="Arial"/>
                <w:sz w:val="16"/>
                <w:szCs w:val="16"/>
                <w:color w:val="auto"/>
              </w:rPr>
              <w:t>Total member’s equity</w:t>
            </w:r>
          </w:p>
        </w:tc>
        <w:tc>
          <w:tcPr>
            <w:tcW w:w="3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11,365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11,060</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7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10"/>
        </w:trPr>
        <w:tc>
          <w:tcPr>
            <w:tcW w:w="20" w:type="dxa"/>
            <w:vAlign w:val="bottom"/>
          </w:tcPr>
          <w:p>
            <w:pPr>
              <w:spacing w:after="0"/>
              <w:rPr>
                <w:sz w:val="18"/>
                <w:szCs w:val="18"/>
                <w:color w:val="auto"/>
              </w:rPr>
            </w:pPr>
          </w:p>
        </w:tc>
        <w:tc>
          <w:tcPr>
            <w:tcW w:w="7060" w:type="dxa"/>
            <w:vAlign w:val="bottom"/>
            <w:gridSpan w:val="2"/>
          </w:tcPr>
          <w:p>
            <w:pPr>
              <w:ind w:left="6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11,414</w:t>
            </w:r>
          </w:p>
        </w:tc>
      </w:tr>
      <w:tr>
        <w:trPr>
          <w:trHeight w:val="230"/>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46,534</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2"/>
        <w:spacing w:after="0" w:line="26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assets include $3,392 million and $2,641 million as of June 30, 2023 and December 31, 2022, respectively, of certain VIEs that can only be used to settle the liabilities of the VIE. Our consolidated liabilities include $1,024 million and $1,041 million as of June 30, 2023 and December 31, 2022, respectively, of certain VIEs for which the VIE creditors do not have recourse to us. See Note 15 — Variable Interest Entities for additional information.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Constellation Energy Generation, LLC and Subsidiary Companies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gridSpan w:val="5"/>
          </w:tcPr>
          <w:p>
            <w:pPr>
              <w:ind w:left="20"/>
              <w:spacing w:after="0"/>
              <w:rPr>
                <w:sz w:val="20"/>
                <w:szCs w:val="20"/>
                <w:color w:val="auto"/>
              </w:rPr>
            </w:pPr>
            <w:r>
              <w:rPr>
                <w:rFonts w:ascii="Arial" w:cs="Arial" w:eastAsia="Arial" w:hAnsi="Arial"/>
                <w:sz w:val="13"/>
                <w:szCs w:val="13"/>
                <w:b w:val="1"/>
                <w:bCs w:val="1"/>
                <w:color w:val="auto"/>
              </w:rPr>
              <w:t>Six Months Ended June 30, 2023</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Member's Equity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44"/>
              <w:spacing w:after="0" w:line="148"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44"/>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02"/>
              <w:spacing w:after="0"/>
              <w:rPr>
                <w:sz w:val="20"/>
                <w:szCs w:val="20"/>
                <w:color w:val="auto"/>
              </w:rPr>
            </w:pPr>
            <w:r>
              <w:rPr>
                <w:rFonts w:ascii="Arial" w:cs="Arial" w:eastAsia="Arial" w:hAnsi="Arial"/>
                <w:sz w:val="13"/>
                <w:szCs w:val="13"/>
                <w:b w:val="1"/>
                <w:bCs w:val="1"/>
                <w:color w:val="auto"/>
              </w:rPr>
              <w:t>Membership</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203"/>
              <w:spacing w:after="0"/>
              <w:rPr>
                <w:sz w:val="20"/>
                <w:szCs w:val="20"/>
                <w:color w:val="auto"/>
              </w:rPr>
            </w:pPr>
            <w:r>
              <w:rPr>
                <w:rFonts w:ascii="Arial" w:cs="Arial" w:eastAsia="Arial" w:hAnsi="Arial"/>
                <w:sz w:val="13"/>
                <w:szCs w:val="13"/>
                <w:b w:val="1"/>
                <w:bCs w:val="1"/>
                <w:color w:val="auto"/>
              </w:rPr>
              <w:t>Undistributed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44"/>
              <w:spacing w:after="0"/>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6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2"/>
                <w:szCs w:val="12"/>
                <w:color w:val="auto"/>
              </w:rPr>
            </w:pPr>
          </w:p>
        </w:tc>
        <w:tc>
          <w:tcPr>
            <w:tcW w:w="1120" w:type="dxa"/>
            <w:vAlign w:val="bottom"/>
          </w:tcPr>
          <w:p>
            <w:pPr>
              <w:jc w:val="right"/>
              <w:ind w:right="342"/>
              <w:spacing w:after="0" w:line="144" w:lineRule="exact"/>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343"/>
              <w:spacing w:after="0" w:line="144"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44"/>
              <w:spacing w:after="0" w:line="144" w:lineRule="exact"/>
              <w:rPr>
                <w:sz w:val="20"/>
                <w:szCs w:val="20"/>
                <w:color w:val="auto"/>
              </w:rPr>
            </w:pPr>
            <w:r>
              <w:rPr>
                <w:rFonts w:ascii="Arial" w:cs="Arial" w:eastAsia="Arial" w:hAnsi="Arial"/>
                <w:sz w:val="13"/>
                <w:szCs w:val="13"/>
                <w:b w:val="1"/>
                <w:bCs w:val="1"/>
                <w:color w:val="auto"/>
                <w:w w:val="94"/>
              </w:rPr>
              <w:t>Loss, net</w:t>
            </w:r>
          </w:p>
        </w:tc>
        <w:tc>
          <w:tcPr>
            <w:tcW w:w="120" w:type="dxa"/>
            <w:vAlign w:val="bottom"/>
          </w:tcPr>
          <w:p>
            <w:pPr>
              <w:spacing w:after="0"/>
              <w:rPr>
                <w:sz w:val="12"/>
                <w:szCs w:val="12"/>
                <w:color w:val="auto"/>
              </w:rPr>
            </w:pPr>
          </w:p>
        </w:tc>
        <w:tc>
          <w:tcPr>
            <w:tcW w:w="15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98"/>
              </w:rPr>
              <w:t>Noncontrolling Interests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21"/>
              <w:spacing w:after="0" w:line="144" w:lineRule="exact"/>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December 31,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equity of noncontrolling interests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Distributions to member</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comprehensive loss,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Balance, March 31, 2023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12,256</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411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(1,808)</w:t>
            </w:r>
          </w:p>
        </w:tc>
        <w:tc>
          <w:tcPr>
            <w:tcW w:w="7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11,217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Changes in equity of noncontrolling interests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Distribution to member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0" w:type="dxa"/>
            <w:vAlign w:val="bottom"/>
            <w:gridSpan w:val="2"/>
          </w:tcPr>
          <w:p>
            <w:pPr>
              <w:spacing w:after="0" w:line="165" w:lineRule="exact"/>
              <w:rPr>
                <w:sz w:val="20"/>
                <w:szCs w:val="20"/>
                <w:color w:val="auto"/>
              </w:rPr>
            </w:pPr>
            <w:r>
              <w:rPr>
                <w:rFonts w:ascii="Arial" w:cs="Arial" w:eastAsia="Arial" w:hAnsi="Arial"/>
                <w:sz w:val="16"/>
                <w:szCs w:val="16"/>
                <w:color w:val="auto"/>
              </w:rPr>
              <w:t>Other comprehensive income, net of income</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taxes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June 30, 2023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1,153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gridSpan w:val="5"/>
          </w:tcPr>
          <w:p>
            <w:pPr>
              <w:ind w:left="20"/>
              <w:spacing w:after="0"/>
              <w:rPr>
                <w:sz w:val="20"/>
                <w:szCs w:val="20"/>
                <w:color w:val="auto"/>
              </w:rPr>
            </w:pPr>
            <w:r>
              <w:rPr>
                <w:rFonts w:ascii="Arial" w:cs="Arial" w:eastAsia="Arial" w:hAnsi="Arial"/>
                <w:sz w:val="13"/>
                <w:szCs w:val="13"/>
                <w:b w:val="1"/>
                <w:bCs w:val="1"/>
                <w:color w:val="auto"/>
              </w:rPr>
              <w:t>Six Months Ended June 30, 2022</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Member's Equity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24"/>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44"/>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22"/>
              <w:spacing w:after="0"/>
              <w:rPr>
                <w:sz w:val="20"/>
                <w:szCs w:val="20"/>
                <w:color w:val="auto"/>
              </w:rPr>
            </w:pPr>
            <w:r>
              <w:rPr>
                <w:rFonts w:ascii="Arial" w:cs="Arial" w:eastAsia="Arial" w:hAnsi="Arial"/>
                <w:sz w:val="13"/>
                <w:szCs w:val="13"/>
                <w:b w:val="1"/>
                <w:bCs w:val="1"/>
                <w:color w:val="auto"/>
              </w:rPr>
              <w:t>Membership</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203"/>
              <w:spacing w:after="0"/>
              <w:rPr>
                <w:sz w:val="20"/>
                <w:szCs w:val="20"/>
                <w:color w:val="auto"/>
              </w:rPr>
            </w:pPr>
            <w:r>
              <w:rPr>
                <w:rFonts w:ascii="Arial" w:cs="Arial" w:eastAsia="Arial" w:hAnsi="Arial"/>
                <w:sz w:val="13"/>
                <w:szCs w:val="13"/>
                <w:b w:val="1"/>
                <w:bCs w:val="1"/>
                <w:color w:val="auto"/>
              </w:rPr>
              <w:t>Undistributed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44"/>
              <w:spacing w:after="0"/>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3"/>
                <w:szCs w:val="13"/>
                <w:color w:val="auto"/>
              </w:rPr>
            </w:pPr>
          </w:p>
        </w:tc>
        <w:tc>
          <w:tcPr>
            <w:tcW w:w="1120" w:type="dxa"/>
            <w:vAlign w:val="bottom"/>
          </w:tcPr>
          <w:p>
            <w:pPr>
              <w:jc w:val="right"/>
              <w:ind w:right="362"/>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343"/>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24"/>
              <w:spacing w:after="0"/>
              <w:rPr>
                <w:sz w:val="20"/>
                <w:szCs w:val="20"/>
                <w:color w:val="auto"/>
              </w:rPr>
            </w:pPr>
            <w:r>
              <w:rPr>
                <w:rFonts w:ascii="Arial" w:cs="Arial" w:eastAsia="Arial" w:hAnsi="Arial"/>
                <w:sz w:val="13"/>
                <w:szCs w:val="13"/>
                <w:b w:val="1"/>
                <w:bCs w:val="1"/>
                <w:color w:val="auto"/>
                <w:w w:val="98"/>
              </w:rPr>
              <w:t>Loss, net</w:t>
            </w:r>
          </w:p>
        </w:tc>
        <w:tc>
          <w:tcPr>
            <w:tcW w:w="12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Noncontrolling Interests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20"/>
              <w:spacing w:after="0"/>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December 31,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Separation-related adjustments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Changes in equity of noncontrolling interests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Distributions to member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0" w:type="dxa"/>
            <w:vAlign w:val="bottom"/>
            <w:gridSpan w:val="2"/>
          </w:tcPr>
          <w:p>
            <w:pPr>
              <w:spacing w:after="0" w:line="165" w:lineRule="exact"/>
              <w:rPr>
                <w:sz w:val="20"/>
                <w:szCs w:val="20"/>
                <w:color w:val="auto"/>
              </w:rPr>
            </w:pPr>
            <w:r>
              <w:rPr>
                <w:rFonts w:ascii="Arial" w:cs="Arial" w:eastAsia="Arial" w:hAnsi="Arial"/>
                <w:sz w:val="16"/>
                <w:szCs w:val="16"/>
                <w:color w:val="auto"/>
              </w:rPr>
              <w:t>Other comprehensive income, net of income</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taxes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March 31, 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equity of noncontrolling interests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color w:val="auto"/>
              </w:rPr>
              <w:t>Distribution to member</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360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Other comprehensive income, net of income</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taxes</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6"/>
                <w:szCs w:val="16"/>
                <w:b w:val="1"/>
                <w:bCs w:val="1"/>
                <w:color w:val="auto"/>
              </w:rPr>
              <w:t>Balance, June 30, 2022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12,326</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659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(1,992)</w:t>
            </w:r>
          </w:p>
        </w:tc>
        <w:tc>
          <w:tcPr>
            <w:tcW w:w="7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Combined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a producer of clean energy and a supplier of energy products and services. Our generating capacity includes primarily nuclear, wind, solar, natural gas and hydroelectric assets. Through our integrated business operations, we sell electricity, natural gas, and other energy-related products and sustainable solutions to various types of customers, including distribution utilities, municipalities, cooperatives, and commercial, industrial, governmental, and residential customers in markets across multiple geographic regions. We have five reportable segments: Mid-Atlantic, Midwest, New York, ERCOT and Other Power Regions.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February 21, 2021, the board of directors of Exelon authorized management to pursue a plan to separate its competitive generation and customer-facing energy businesses (separation), conducted through Constellation Energy Generation, LLC (“Constellation”, formerly Exelon Generation Company, LLC) and its subsidiaries, into an independent, publicly-traded company. CEG Parent, a direct, wholly owned subsidiary of Exelon, was newly formed for the purpose of consummating the separation and had not engaged in any business activities nor had any assets or liabilities prior to the separation. On February 1, 2022, the separation was completed and CEG Parent holds all the interests in Constellation previously held by Exelon.</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an individual registrant, Constellation has historically filed consolidated financial statements to reflect its financial position and operating results as a stand-alone, wholly owned subsidiary of Exelon. The accompanying Consolidated Financial Statements as of June 30, 2023 and for the three and six months ended June 30, 2023 and 2022 are unaudited but, in our opinion include all adjustments that are considered necessary for a fair statement of the financial statements in accordance with GAAP. All adjustments are of a normal, recurring nature, except as otherwise disclosed. The Consolidated Financial Statements include the accounts of our subsidiaries and all intercompany transactions have been eliminated. CEG Parent's prior period financial statements have been adjusted to reflect the balances of Constellation in accordance with applicable guidance. Constellation's December 31, 2022 Consolidated Balance Sheet was derived from audited financial statements. The interim financial statements are to be read in conjunction with prior annual financial statements and notes. Financial results for interim periods are not necessarily indicative of results that may be expected for any other interim period or for the fiscal year ending December 31, 2023. These Combined Notes to Consolidated Financial Statements have been prepared pursuant to the rules and regulations of the SEC for Quarterly Reports on Form 10-Q. Certain information and note disclosures normally included in financial statements prepared in accordance with GAAP have been condensed or omitted pursuant to such rules and regulations. Amounts disclosed relate to CEG Parent and Constellation unless specifically noted as relating to CEG Parent only. Unless otherwise indicated or the context otherwise requires, references herein to the terms “we,” “us,” and “our” refer collectively to CEG Parent and Constellation.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Separation from Exelon</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February 1, 2022, Exelon completed the separation through a pro-rata distribution of all of the outstanding shares of CEG Parent's common stock, no par value, on the basis of one such share for every three shares of Exelon common stock held on January 20, 2022, the record date of the distribution. CEG Parent is an independent, publicly traded company listed on the Nasdaq Stock Market under the symbol “CEG”, and regular-way trading began on February 2, 2022. Exelon no longer retains any ownership interest in CEG Parent or Constellation.</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Prior to completion of the separation, our financial statements include certain transactions with affiliates of Exelon, which are disclosed as related party transactions. After February 1, 2022, all transactions with Exelon or its affiliates are no longer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Note 1 — Basis of Presentation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order to govern the ongoing relationships with Exelon after the separation, and to facilitate an orderly transition, we entered into several agreements with Exelon, including a Separation Agreement, TSA, EMA, and TMA.</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Pursuant to the Separation Agreement, we received a cash contribution of $1.75 billion from Exelon on January 31, 2022, the proceeds of which were used to settle $258 million of an intercompany loan from Exelon and $200 million of short-term debt outstanding prior to separation, in addition to a $192 million contribution to our pension plans. We also entered into two new five-year facility agreements providing $4.5 billion of capacity.</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amounts Exelon billed us for services pursuant to the TSA were $44 million and $69 million for the three months ended June 30, 2023 and 2022, respectively, and were $94 million and $125 million for the six months ended June 30, 2023 and 2022, respectively. The amounts we billed Exelon for services pursuant to the TSA were $3 million and $11 million for the three months ended June 30, 2023 and 2022, respectively, and were $9 million and $20 million for the six months ended June 30, 2023 and 2022,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See Note 1 — Basis of Presentation of our 2022 Form 10-K for additional information on the separation from Exelon.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See Note 1 — Basis of Presentation of our 2022 Form 10-K for additional information on significant accounting policies.</w:t>
      </w:r>
    </w:p>
    <w:p>
      <w:pPr>
        <w:spacing w:after="0" w:line="173" w:lineRule="exact"/>
        <w:rPr>
          <w:sz w:val="20"/>
          <w:szCs w:val="20"/>
          <w:color w:val="auto"/>
        </w:rPr>
      </w:pPr>
    </w:p>
    <w:p>
      <w:pPr>
        <w:ind w:right="7060" w:firstLine="8"/>
        <w:spacing w:after="0" w:line="463"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Mergers, Acquisitions, and Dispositions Acquisition of Joint Ownership in South Texas Project</w:t>
      </w:r>
    </w:p>
    <w:p>
      <w:pPr>
        <w:jc w:val="both"/>
        <w:spacing w:after="0" w:line="260" w:lineRule="auto"/>
        <w:rPr>
          <w:sz w:val="20"/>
          <w:szCs w:val="20"/>
          <w:color w:val="auto"/>
        </w:rPr>
      </w:pPr>
      <w:r>
        <w:rPr>
          <w:rFonts w:ascii="Arial" w:cs="Arial" w:eastAsia="Arial" w:hAnsi="Arial"/>
          <w:sz w:val="16"/>
          <w:szCs w:val="16"/>
          <w:color w:val="auto"/>
        </w:rPr>
        <w:t>On May 31, 2023, we entered into an Equity Purchase Agreement with Texas Genco GP, LLC and Texas Genco LP, LLC, subsidiaries of NRG Energy, Inc. (NRG), for the acquisition of NRG’s 44% undivided ownership interest in the jointly owned South Texas Project Nuclear Generating Station (STP), a 2,645-megawatt, dual-unit nuclear plant located in Bay City, Texas, for a cash purchase price of $1.75 billion. The current renewed NRC licenses for the STP units expire in 2047/2048 and the NRC licensed operator is STP Nuclear Operating Company (STPNOC), acting on behalf of the joint owners. Other owners include City Public Service Board of San Antonio (CPS, 40%) and the City of Austin, Texas (Austin Energy, 16%). This acquisition is complementary to and aligned strategically with our existing clean energy business operations. Closing of the transaction requires the receipt of certain regulatory approvals and is also subject to other customary closing conditions.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transaction is expected to be accounted for as a business combination and we would record the fair value of our proportionate share of the assets acquired and liabilities assumed as of the acquisition date. To the extent that the purchase price is greater than the fair value of the net assets acquired, goodwill will be recorded. To the extent the fair value of the net assets acquired is greater than the purchase price, a bargain purchase gain will be recorded.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part of the transaction, we would acquire ownership of NRG’s share of two qualified decommissioning trust funds established to provide funding for decontamination and decommissioning of STP. The trust funds have been funded with amounts collected from predecessor utilities. We expect to continue to maintain these funds and the ability to collect additional funds if needed in the future from ratepayers and any excess of funds upon completion of decommissioning are required to be returned to ratepayers. As such, our accounting for the future decommissioning of our interest in STP post acquisition is expected to mirror that of our existing Regulatory Agreement Units. Refer to Note 1 — Basis of Presentation and Note 10 – Asset Retirement Obligations of our 2022 Form 10-K for additional information on our accounting policy for Regulatory Agreement Units.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July 28, 2023 NRG accepted service of a lawsuit filed by the City of San Antonio, Texas, acting by and through CPS, in the 130th District Court of Matagorda County, Texas against NRG and certain of its subsidiaries, claiming the existence of a right of first refusal that applies to the transaction contemplated between us and NRG. On July 31, 2023 we intervened in the lawsuit and Austin Energy also intervened in the lawsuit claiming a similar right of first refusal. Per the terms of the Equity Purchase Agreement, NRG made representations that no right of first refusal applied to the transaction contemplated between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Note 2 — Mergers,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Additionally, on July 31, 2023 CPS and Austin Energy jointly filed a motion with the NRC seeking to dismiss our pending license transfer application with NRG, or in the alternative, requested a stay of the NRC’s review pending resolution of CPS’s lawsuit in Texas state court.</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continue to proceed with the actions necessary to close the transaction by the end of 2023. However, we cannot reasonably predict the outcome of this lawsuit or whether the lawsuit will affect the timing of closing the transaction or its ultimate consummation.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Regulatory Matters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discussed in Note 3 — Regulatory Matters of our 2022 Form 10-K, we are involved in various regulatory and legislative proceedings. The following discusses developments in 2023 and updates to the 2022 Form 10-K.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PJM Performance Bonuses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December 23, 2022, and continuing through the morning of December 25, 2022, winter storm Elliott blanketed the entirety of PJM’s footprint with record low temperatures and extreme weather conditions. A significant portion of PJM's fossil generation fleet failed to perform as reserves were called. In accordance with PJM's tariff, funds collected from non-performance charges are redistributed as bonuses to generating resources that overperformed during the event, including our nuclear fleet. Our estimated receivable for performance bonuses (net of non-performance charges) requires the application of significant judgement and assumptions that include potential impacts of generator defaults and litigation. At least 15 complaints have been filed at FERC by underperforming generators alleging, among other things, that PJM’s tariff is unjust and unreasonable, and that PJM violated its tariff or otherwise acted negligently in operating the system during that period and seeking to reduce or eliminate any penalty. We are actively engaged in these proceedings. On June 5, 2023, FERC established settlement judge procedures to assist the parties to these proceedings in reaching a satisfactory resolution of the issues raised, which are expected to conclude on August 14, 2023, if no agreement is reached (subject to a 30-day extension if the parties are significantly progressing towards settlement).</w:t>
      </w:r>
    </w:p>
    <w:p>
      <w:pPr>
        <w:spacing w:after="0" w:line="9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We cannot reasonably predict the outcome of the complaints or settlement discussions; however, </w:t>
      </w:r>
      <w:r>
        <w:rPr>
          <w:rFonts w:ascii="Arial" w:cs="Arial" w:eastAsia="Arial" w:hAnsi="Arial"/>
          <w:sz w:val="19"/>
          <w:szCs w:val="19"/>
          <w:color w:val="auto"/>
        </w:rPr>
        <w:t>i</w:t>
      </w:r>
      <w:r>
        <w:rPr>
          <w:rFonts w:ascii="Arial" w:cs="Arial" w:eastAsia="Arial" w:hAnsi="Arial"/>
          <w:sz w:val="16"/>
          <w:szCs w:val="16"/>
          <w:color w:val="auto"/>
        </w:rPr>
        <w:t>t is reasonably possible that the ultimate impact to our consolidated financial statements could differ materially once these uncertainties are resolved.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England Regulatory Matters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Mystic Units 8 and 9 Cost of Service Agreement. </w:t>
      </w:r>
      <w:r>
        <w:rPr>
          <w:rFonts w:ascii="Arial" w:cs="Arial" w:eastAsia="Arial" w:hAnsi="Arial"/>
          <w:sz w:val="16"/>
          <w:szCs w:val="16"/>
          <w:color w:val="auto"/>
        </w:rPr>
        <w:t>The Mystic Cost of Service Agreement (Mystic COS) requires an annual process whereby we identify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support our projected costs under the agreement and/or true-up previous projections to the actual costs incurred. The first annual process resulted in a filing at FERC on September 15, 2021 and included our projection of capital expenditures to be recovered under the Mystic COS between June 1, 2022 and December 31, 2022. On April 28, 2022, FERC issued an order setting for settlement and/or hearing the issue of whether our projected 2022 capital expenditures can be recovered. On February 6, 2023, we reached a settlement in principle with certain parties to the proceeding, and an offer of settlement was filed at FERC on March 15, 2023. On August 1, 2023, FERC approved the settlement without modification. The settlement reduces the recovery we receive for capital projects over the term of the Mystic COS. The settlement also eliminates the possibility that we would need to refund certain costs recovered under the COS Agreement for the EMT facility if the EMT facility continues operating post-Cost-of-Service (EMT Clawback Issue), thus resolving an issue remanded to FERC by the D.C. Circuit in the August 2022 decision. The approval of this offer of settlement does not have a material financial statement impact. On September 15, 2022, we made our second annual filing at FERC, which included (1) our projection of capital expenditures to be recovered under the Mystic COS between January 1, 2023 and December 31, 2023, and (2) an updated projection of the Annual Fixed Revenue Requirement, the Maximum Monthly Fixed Cost Payment, and the Fixed Operating and Maintenance/Return on Investment component of the Monthly Fuel Cost Charge, including an update to rate base for the period between January 1, 2018 and December 31, 2021. That filing is currently pending at FERC.</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March 28, 2023, FERC issued an order on remand from the D.C. Circuit’s August 2022 decision (FERC Remand Order). The D.C. Circuit’s August 2022 decision remanded back to FERC certain issues related to the Mystic COS. The FERC Remand Order affirmed that 91% of EMT’s fixed costs will be recovered via the Mystic COS, subject to the reinstatement of a margin sharing mechanism on forward sales of vapor. It also granted our motion to hold in abeyance the EMT Clawback issue, as that matter will be resolved by the settlement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Note 3 — Regulatory Matters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filed at FERC in March 2023 if FERC approves the settlement. No party sought rehearing of the FERC Remand Order.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License Renewals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Conowingo Hydroelectric Project (Conowingo). </w:t>
      </w:r>
      <w:r>
        <w:rPr>
          <w:rFonts w:ascii="Arial" w:cs="Arial" w:eastAsia="Arial" w:hAnsi="Arial"/>
          <w:sz w:val="16"/>
          <w:szCs w:val="16"/>
          <w:color w:val="auto"/>
        </w:rPr>
        <w:t>On December 20, 2022, the U.S. Court of Appeals for the D.C. Circuit issued a decision vacating FERC’s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decision to grant Conowingo its 50-year license renewal and sending the matter back to FERC for further proceedings. Upon issuance of the mandate from the U.S. Court of Appeals for the D.C. Circuit, we began operating under an annual license, which renews automatically, containing the same terms as the license that was in effect prior to the March 19, 2021 FERC order.</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and MDE previously filed with FERC a Joint Offer of Settlement (Offer of Settlement) that would resolve all outstanding issues relating to the water quality certification pursuant to Section 401 of the Clean Water Act (401 Certification) for Conowingo. On June 1, 2023, MDE informed us that as a result of the U.S. Court of Appeals decision, they would be resuming their administrative reconsideration of the 401 Certification. The parties were invited to make supplemental submittals by August 1, 2023.</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are unable to further predict the outcome of these proceedings at this time.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Impacts of the February 2021 Extreme Cold Weather Event and Texas-based Generating Assets Outages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February 2021, our Texas-based generating assets within the ERCOT market, specifically Colorado Bend II, Wolf Hollow II, and Handley, experienced outages because of extreme cold weather conditions. In addition, those weather conditions drove increased demand for service, dramatically increased wholesale power prices, and increased gas prices in certain regions.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response to the high demand and significantly reduced total generation on the system during the event, the PUCT directed ERCOT to use an administrative price cap of $9,000/MWh during firm load shedding. We intervened in a third-party notice of appeal in the Court of Appeals for the Third District of Texas (Third Court of Appeals) challenging the validity of the PUCT’s action administratively setting prices at $9,000/MWh. Additionally, we filed a request for declaratory judgment in Texas district court, which is being stayed pending the outcome of the appeal. On March 17, 2023, the Third Court of Appeals reversed the PUCT’s orders directing ERCOT to use an administrative price cap of $9,000/MWh during firm load shedding, finding that the PUCT violated Texas law by exceeding its authority granted by the legislature. The PUCT and aligned parties appealed the decision to the Supreme Court of Texas. We cannot reasonably predict the outcome of these proceedings or the potential financial statement impact.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from Contracts with Customers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recognize revenue from contracts with customers to depict the transfer of goods or services to customers at an amount that we expect to be entitled to in exchange for those goods or services. Our primary sources of revenue include competitive sales of power, natural gas, and other energy-related products and sustainable solutions.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See Note 4 — Revenue from Contracts with Customers of our 2022 Form 10-K for additional information regarding the primary sources of revenue.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record contract assets for the revenue recognized on the construction and installation of energy efficiency assets and new power generating facilities before we have an unconditional right to bill for and receive the consideration from the customer. These contract assets are subsequently reclassified to receivables when the right to payment becomes unconditional. We record contract assets and contract receivables in Other current assets and Customer accounts receivable, net, respectively,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Note 4 —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provides a rollforward of the contract assets reflected in the Consolidated Balance Sheets for the three and six months ended June 30,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jc w:val="right"/>
              <w:ind w:right="680"/>
              <w:spacing w:after="0"/>
              <w:rPr>
                <w:sz w:val="20"/>
                <w:szCs w:val="20"/>
                <w:color w:val="auto"/>
              </w:rPr>
            </w:pPr>
            <w:r>
              <w:rPr>
                <w:rFonts w:ascii="Arial" w:cs="Arial" w:eastAsia="Arial" w:hAnsi="Arial"/>
                <w:sz w:val="13"/>
                <w:szCs w:val="13"/>
                <w:b w:val="1"/>
                <w:bCs w:val="1"/>
                <w:color w:val="auto"/>
              </w:rPr>
              <w:t>Contract Assets</w:t>
            </w:r>
          </w:p>
        </w:tc>
      </w:tr>
      <w:tr>
        <w:trPr>
          <w:trHeight w:val="22"/>
        </w:trPr>
        <w:tc>
          <w:tcPr>
            <w:tcW w:w="8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37"/>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23"/>
        </w:trPr>
        <w:tc>
          <w:tcPr>
            <w:tcW w:w="8740" w:type="dxa"/>
            <w:vAlign w:val="bottom"/>
          </w:tcPr>
          <w:p>
            <w:pPr>
              <w:ind w:left="20"/>
              <w:spacing w:after="0"/>
              <w:rPr>
                <w:sz w:val="20"/>
                <w:szCs w:val="20"/>
                <w:color w:val="auto"/>
              </w:rPr>
            </w:pPr>
            <w:r>
              <w:rPr>
                <w:rFonts w:ascii="Arial" w:cs="Arial" w:eastAsia="Arial" w:hAnsi="Arial"/>
                <w:sz w:val="16"/>
                <w:szCs w:val="16"/>
                <w:color w:val="auto"/>
              </w:rPr>
              <w:t>Amounts reclassified to receivables</w:t>
            </w: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6"/>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recognized</w:t>
            </w:r>
          </w:p>
        </w:tc>
        <w:tc>
          <w:tcPr>
            <w:tcW w:w="440" w:type="dxa"/>
            <w:vAlign w:val="bottom"/>
            <w:tcBorders>
              <w:bottom w:val="single" w:sz="8" w:color="auto"/>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3"/>
        </w:trPr>
        <w:tc>
          <w:tcPr>
            <w:tcW w:w="8740" w:type="dxa"/>
            <w:vAlign w:val="bottom"/>
          </w:tcPr>
          <w:p>
            <w:pPr>
              <w:ind w:left="20"/>
              <w:spacing w:after="0"/>
              <w:rPr>
                <w:sz w:val="20"/>
                <w:szCs w:val="20"/>
                <w:color w:val="auto"/>
              </w:rPr>
            </w:pPr>
            <w:r>
              <w:rPr>
                <w:rFonts w:ascii="Arial" w:cs="Arial" w:eastAsia="Arial" w:hAnsi="Arial"/>
                <w:sz w:val="16"/>
                <w:szCs w:val="16"/>
                <w:color w:val="auto"/>
              </w:rPr>
              <w:t>Balance as of March 31, 2023</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53"/>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to receivables</w:t>
            </w:r>
          </w:p>
        </w:tc>
        <w:tc>
          <w:tcPr>
            <w:tcW w:w="44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50"/>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Revenues recognized</w:t>
            </w:r>
          </w:p>
        </w:tc>
        <w:tc>
          <w:tcPr>
            <w:tcW w:w="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41"/>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237"/>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33"/>
        </w:trPr>
        <w:tc>
          <w:tcPr>
            <w:tcW w:w="8740" w:type="dxa"/>
            <w:vAlign w:val="bottom"/>
          </w:tcPr>
          <w:p>
            <w:pPr>
              <w:ind w:left="20"/>
              <w:spacing w:after="0"/>
              <w:rPr>
                <w:sz w:val="20"/>
                <w:szCs w:val="20"/>
                <w:color w:val="auto"/>
              </w:rPr>
            </w:pPr>
            <w:r>
              <w:rPr>
                <w:rFonts w:ascii="Arial" w:cs="Arial" w:eastAsia="Arial" w:hAnsi="Arial"/>
                <w:sz w:val="16"/>
                <w:szCs w:val="16"/>
                <w:color w:val="auto"/>
              </w:rPr>
              <w:t>Amounts reclassified to receivables</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6"/>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recognized</w:t>
            </w:r>
          </w:p>
        </w:tc>
        <w:tc>
          <w:tcPr>
            <w:tcW w:w="440" w:type="dxa"/>
            <w:vAlign w:val="bottom"/>
            <w:tcBorders>
              <w:bottom w:val="single" w:sz="8" w:color="auto"/>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3"/>
        </w:trPr>
        <w:tc>
          <w:tcPr>
            <w:tcW w:w="8740" w:type="dxa"/>
            <w:vAlign w:val="bottom"/>
          </w:tcPr>
          <w:p>
            <w:pPr>
              <w:ind w:left="20"/>
              <w:spacing w:after="0"/>
              <w:rPr>
                <w:sz w:val="20"/>
                <w:szCs w:val="20"/>
                <w:color w:val="auto"/>
              </w:rPr>
            </w:pPr>
            <w:r>
              <w:rPr>
                <w:rFonts w:ascii="Arial" w:cs="Arial" w:eastAsia="Arial" w:hAnsi="Arial"/>
                <w:sz w:val="16"/>
                <w:szCs w:val="16"/>
                <w:color w:val="auto"/>
              </w:rPr>
              <w:t>Balance as of March 31, 2022</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46"/>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to receivables</w:t>
            </w: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740" w:type="dxa"/>
            <w:vAlign w:val="bottom"/>
          </w:tcPr>
          <w:p>
            <w:pPr>
              <w:ind w:left="20"/>
              <w:spacing w:after="0"/>
              <w:rPr>
                <w:sz w:val="20"/>
                <w:szCs w:val="20"/>
                <w:color w:val="auto"/>
              </w:rPr>
            </w:pPr>
            <w:r>
              <w:rPr>
                <w:rFonts w:ascii="Arial" w:cs="Arial" w:eastAsia="Arial" w:hAnsi="Arial"/>
                <w:sz w:val="16"/>
                <w:szCs w:val="16"/>
                <w:color w:val="auto"/>
              </w:rPr>
              <w:t>Revenues recognized</w:t>
            </w:r>
          </w:p>
        </w:tc>
        <w:tc>
          <w:tcPr>
            <w:tcW w:w="4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68"/>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Liabilities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record contract liabilities when consideration is received or due prior to the satisfaction of the performance obligations. We record contract liabilities in Other current liabilities and Other deferred credits and other liabilities in the Consolidated Balance Sheets. These contract liabilities primarily relate to upfront consideration received or due for equipment service plans, the Mystic COS, and the Illinois ZEC program. The Mystic COS includes upfront consideration received or due that differs from the recognized earnings over the cost of the service period. The Illinois ZEC program introduces an annual cap on the total consideration to be received by us for each delivery period. The ZEC price is established on a per MWh of production basis with a maximum annual cap for total compensation to be received for each planning year, while requiring delivery of all ZECs produced by our participating facilities during each delivery period. ZECs delivered to Illinois utilities in excess of the annual cost cap may be paid in subsequent years if the payments do not exceed the prescribed annual cost cap for that year. As of June 30, 2023, there were no outstanding contract liabilities included in Other current liabilities and Other deferred credits and other liabilities in the Consolidated Balance Sheets for the Illinois ZEC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Note 4 —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provides a rollforward of the contract liabilities reflected in the Consolidated Balance Sheets for the three and six months ended June 30,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Pr>
          <w:p>
            <w:pPr>
              <w:jc w:val="right"/>
              <w:ind w:right="600"/>
              <w:spacing w:after="0"/>
              <w:rPr>
                <w:sz w:val="20"/>
                <w:szCs w:val="20"/>
                <w:color w:val="auto"/>
              </w:rPr>
            </w:pPr>
            <w:r>
              <w:rPr>
                <w:rFonts w:ascii="Arial" w:cs="Arial" w:eastAsia="Arial" w:hAnsi="Arial"/>
                <w:sz w:val="13"/>
                <w:szCs w:val="13"/>
                <w:b w:val="1"/>
                <w:bCs w:val="1"/>
                <w:color w:val="auto"/>
              </w:rPr>
              <w:t>Contract Liabilities</w:t>
            </w:r>
          </w:p>
        </w:tc>
      </w:tr>
      <w:tr>
        <w:trPr>
          <w:trHeight w:val="22"/>
        </w:trPr>
        <w:tc>
          <w:tcPr>
            <w:tcW w:w="8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3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23"/>
        </w:trPr>
        <w:tc>
          <w:tcPr>
            <w:tcW w:w="8720" w:type="dxa"/>
            <w:vAlign w:val="bottom"/>
          </w:tcPr>
          <w:p>
            <w:pPr>
              <w:ind w:left="20"/>
              <w:spacing w:after="0"/>
              <w:rPr>
                <w:sz w:val="20"/>
                <w:szCs w:val="20"/>
                <w:color w:val="auto"/>
              </w:rPr>
            </w:pPr>
            <w:r>
              <w:rPr>
                <w:rFonts w:ascii="Arial" w:cs="Arial" w:eastAsia="Arial" w:hAnsi="Arial"/>
                <w:sz w:val="16"/>
                <w:szCs w:val="16"/>
                <w:color w:val="auto"/>
              </w:rPr>
              <w:t>Consideration received or due</w:t>
            </w: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33"/>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recognized</w:t>
            </w:r>
          </w:p>
        </w:tc>
        <w:tc>
          <w:tcPr>
            <w:tcW w:w="42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4"/>
        </w:trPr>
        <w:tc>
          <w:tcPr>
            <w:tcW w:w="8720" w:type="dxa"/>
            <w:vAlign w:val="bottom"/>
          </w:tcPr>
          <w:p>
            <w:pPr>
              <w:ind w:left="20"/>
              <w:spacing w:after="0"/>
              <w:rPr>
                <w:sz w:val="20"/>
                <w:szCs w:val="20"/>
                <w:color w:val="auto"/>
              </w:rPr>
            </w:pPr>
            <w:r>
              <w:rPr>
                <w:rFonts w:ascii="Arial" w:cs="Arial" w:eastAsia="Arial" w:hAnsi="Arial"/>
                <w:sz w:val="16"/>
                <w:szCs w:val="16"/>
                <w:color w:val="auto"/>
              </w:rPr>
              <w:t>Balance as of March 31, 2023</w:t>
            </w: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8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Consideration received or due</w:t>
            </w:r>
          </w:p>
        </w:tc>
        <w:tc>
          <w:tcPr>
            <w:tcW w:w="42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37"/>
        </w:trPr>
        <w:tc>
          <w:tcPr>
            <w:tcW w:w="8720" w:type="dxa"/>
            <w:vAlign w:val="bottom"/>
          </w:tcPr>
          <w:p>
            <w:pPr>
              <w:ind w:left="20"/>
              <w:spacing w:after="0"/>
              <w:rPr>
                <w:sz w:val="20"/>
                <w:szCs w:val="20"/>
                <w:color w:val="auto"/>
              </w:rPr>
            </w:pPr>
            <w:r>
              <w:rPr>
                <w:rFonts w:ascii="Arial" w:cs="Arial" w:eastAsia="Arial" w:hAnsi="Arial"/>
                <w:sz w:val="16"/>
                <w:szCs w:val="16"/>
                <w:color w:val="auto"/>
              </w:rPr>
              <w:t>Revenues recognized</w:t>
            </w: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5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33"/>
        </w:trPr>
        <w:tc>
          <w:tcPr>
            <w:tcW w:w="8720" w:type="dxa"/>
            <w:vAlign w:val="bottom"/>
          </w:tcPr>
          <w:p>
            <w:pPr>
              <w:ind w:left="20"/>
              <w:spacing w:after="0"/>
              <w:rPr>
                <w:sz w:val="20"/>
                <w:szCs w:val="20"/>
                <w:color w:val="auto"/>
              </w:rPr>
            </w:pPr>
            <w:r>
              <w:rPr>
                <w:rFonts w:ascii="Arial" w:cs="Arial" w:eastAsia="Arial" w:hAnsi="Arial"/>
                <w:sz w:val="16"/>
                <w:szCs w:val="16"/>
                <w:color w:val="auto"/>
              </w:rPr>
              <w:t>Consideration received or due</w:t>
            </w:r>
          </w:p>
        </w:tc>
        <w:tc>
          <w:tcPr>
            <w:tcW w:w="4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60"/>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recognized</w:t>
            </w:r>
          </w:p>
        </w:tc>
        <w:tc>
          <w:tcPr>
            <w:tcW w:w="42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33"/>
        </w:trPr>
        <w:tc>
          <w:tcPr>
            <w:tcW w:w="8720" w:type="dxa"/>
            <w:vAlign w:val="bottom"/>
          </w:tcPr>
          <w:p>
            <w:pPr>
              <w:ind w:left="20"/>
              <w:spacing w:after="0"/>
              <w:rPr>
                <w:sz w:val="20"/>
                <w:szCs w:val="20"/>
                <w:color w:val="auto"/>
              </w:rPr>
            </w:pPr>
            <w:r>
              <w:rPr>
                <w:rFonts w:ascii="Arial" w:cs="Arial" w:eastAsia="Arial" w:hAnsi="Arial"/>
                <w:sz w:val="16"/>
                <w:szCs w:val="16"/>
                <w:color w:val="auto"/>
              </w:rPr>
              <w:t>Balance as of March 31, 2022</w:t>
            </w:r>
          </w:p>
        </w:tc>
        <w:tc>
          <w:tcPr>
            <w:tcW w:w="4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4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Consideration received or due</w:t>
            </w:r>
          </w:p>
        </w:tc>
        <w:tc>
          <w:tcPr>
            <w:tcW w:w="4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8720" w:type="dxa"/>
            <w:vAlign w:val="bottom"/>
          </w:tcPr>
          <w:p>
            <w:pPr>
              <w:ind w:left="20"/>
              <w:spacing w:after="0"/>
              <w:rPr>
                <w:sz w:val="20"/>
                <w:szCs w:val="20"/>
                <w:color w:val="auto"/>
              </w:rPr>
            </w:pPr>
            <w:r>
              <w:rPr>
                <w:rFonts w:ascii="Arial" w:cs="Arial" w:eastAsia="Arial" w:hAnsi="Arial"/>
                <w:sz w:val="16"/>
                <w:szCs w:val="16"/>
                <w:color w:val="auto"/>
              </w:rPr>
              <w:t>Revenues recognized</w:t>
            </w: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6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revenues recognized in the three and six months ended June 30, 2023 and 2022, which were included in contract liabilities at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32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7"/>
              </w:rPr>
              <w:t>Six Months Ended June 30,</w:t>
            </w:r>
          </w:p>
        </w:tc>
        <w:tc>
          <w:tcPr>
            <w:tcW w:w="1100" w:type="dxa"/>
            <w:vAlign w:val="bottom"/>
          </w:tcPr>
          <w:p>
            <w:pPr>
              <w:spacing w:after="0"/>
              <w:rPr>
                <w:sz w:val="15"/>
                <w:szCs w:val="15"/>
                <w:color w:val="auto"/>
              </w:rPr>
            </w:pPr>
          </w:p>
        </w:tc>
      </w:tr>
      <w:tr>
        <w:trPr>
          <w:trHeight w:val="22"/>
        </w:trPr>
        <w:tc>
          <w:tcPr>
            <w:tcW w:w="3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4"/>
        </w:trPr>
        <w:tc>
          <w:tcPr>
            <w:tcW w:w="3500" w:type="dxa"/>
            <w:vAlign w:val="bottom"/>
          </w:tcPr>
          <w:p>
            <w:pPr>
              <w:spacing w:after="0"/>
              <w:rPr>
                <w:sz w:val="15"/>
                <w:szCs w:val="15"/>
                <w:color w:val="auto"/>
              </w:rPr>
            </w:pPr>
          </w:p>
        </w:tc>
        <w:tc>
          <w:tcPr>
            <w:tcW w:w="1340" w:type="dxa"/>
            <w:vAlign w:val="bottom"/>
          </w:tcPr>
          <w:p>
            <w:pPr>
              <w:jc w:val="right"/>
              <w:ind w:right="191"/>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jc w:val="right"/>
              <w:ind w:right="728"/>
              <w:spacing w:after="0"/>
              <w:rPr>
                <w:sz w:val="20"/>
                <w:szCs w:val="20"/>
                <w:color w:val="auto"/>
              </w:rPr>
            </w:pPr>
            <w:r>
              <w:rPr>
                <w:rFonts w:ascii="Arial" w:cs="Arial" w:eastAsia="Arial" w:hAnsi="Arial"/>
                <w:sz w:val="13"/>
                <w:szCs w:val="13"/>
                <w:b w:val="1"/>
                <w:bCs w:val="1"/>
                <w:color w:val="auto"/>
                <w:w w:val="96"/>
              </w:rPr>
              <w:t>2022</w:t>
            </w:r>
          </w:p>
        </w:tc>
      </w:tr>
      <w:tr>
        <w:trPr>
          <w:trHeight w:val="22"/>
        </w:trPr>
        <w:tc>
          <w:tcPr>
            <w:tcW w:w="3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recognized</w:t>
            </w:r>
          </w:p>
        </w:tc>
        <w:tc>
          <w:tcPr>
            <w:tcW w:w="1340" w:type="dxa"/>
            <w:vAlign w:val="bottom"/>
            <w:shd w:val="clear" w:color="auto" w:fill="CCEEFF"/>
          </w:tcPr>
          <w:p>
            <w:pPr>
              <w:jc w:val="right"/>
              <w:ind w:right="117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60" w:type="dxa"/>
            <w:vAlign w:val="bottom"/>
            <w:gridSpan w:val="2"/>
            <w:shd w:val="clear" w:color="auto" w:fill="CCEEFF"/>
          </w:tcPr>
          <w:p>
            <w:pPr>
              <w:jc w:val="right"/>
              <w:ind w:right="1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140" w:type="dxa"/>
            <w:vAlign w:val="bottom"/>
            <w:shd w:val="clear" w:color="auto" w:fill="CCEEFF"/>
          </w:tcPr>
          <w:p>
            <w:pPr>
              <w:jc w:val="right"/>
              <w:ind w:right="92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24</w:t>
            </w: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68</w:t>
            </w:r>
          </w:p>
        </w:tc>
      </w:tr>
      <w:tr>
        <w:trPr>
          <w:trHeight w:val="33"/>
        </w:trPr>
        <w:tc>
          <w:tcPr>
            <w:tcW w:w="35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Price Allocated to Remaining Performance Obligations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table shows the amounts of future revenues expected to be recorded in each year for performance obligations that are unsatisfied or partially unsatisfied as of June 30, 2023. This disclosure only includes contracts for which the total consideration is fixed and determinable at contract inception. The average contract term varies by customer type and commodity, but ranges from one month to several years. This disclosure excludes our power and gas sales contracts as they contain variable volumes and/or variable pricing.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ind w:left="120"/>
              <w:spacing w:after="0"/>
              <w:rPr>
                <w:sz w:val="20"/>
                <w:szCs w:val="20"/>
                <w:color w:val="auto"/>
              </w:rPr>
            </w:pPr>
            <w:r>
              <w:rPr>
                <w:rFonts w:ascii="Arial" w:cs="Arial" w:eastAsia="Arial" w:hAnsi="Arial"/>
                <w:sz w:val="13"/>
                <w:szCs w:val="13"/>
                <w:b w:val="1"/>
                <w:bCs w:val="1"/>
                <w:color w:val="auto"/>
              </w:rPr>
              <w:t>2027 and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6"/>
        </w:trPr>
        <w:tc>
          <w:tcPr>
            <w:tcW w:w="36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8"/>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Arial" w:cs="Arial" w:eastAsia="Arial" w:hAnsi="Arial"/>
                <w:sz w:val="13"/>
                <w:szCs w:val="13"/>
                <w:b w:val="1"/>
                <w:bCs w:val="1"/>
                <w:color w:val="auto"/>
              </w:rPr>
              <w:t>thereafter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3"/>
                <w:szCs w:val="13"/>
                <w:b w:val="1"/>
                <w:bCs w:val="1"/>
                <w:color w:val="auto"/>
              </w:rPr>
              <w:t>Total</w:t>
            </w:r>
          </w:p>
        </w:tc>
      </w:tr>
      <w:tr>
        <w:trPr>
          <w:trHeight w:val="35"/>
        </w:trPr>
        <w:tc>
          <w:tcPr>
            <w:tcW w:w="36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performance obligations</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102</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136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438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Price Allocated to Previously Satisfied Performance Obligations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Clinton and Quad Cities units contract with certain utilities in Illinois which requires delivery of all ZECs produced during each planning year (June 1 to May 31), with total compensation limited by an annual cap for each planning year designed to limit the cost of ZECs to each utility's customers. ZECs delivered that, if paid, would result in the annual cap being exceeded may be paid in subsequent years at the vintage year price as long as the payments would not exceed the annual cap in the year paid. In each planning year since the program commenced on June 1, 2017, we delivered ZECs to the utilities in excess of the annual compensation cap.</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ZEC price and annual compensation cap effective for each planning year are administratively determined by the IPA. For the June 1, 2023 to May 31, 2024 planning year the ZEC price has been established at $0.30 per ZEC, subject to an annual cap of $224 million. ZECs generated and delivered during this planning year will not exceed the annual cap, providing capacity to compensate for ZECs delivered in prior planning years in excess of the compensation cap. During the second quarter of 2023, we recognized $218 million of revenue as a</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Note 4 —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receivable for ZECs delivered in prior planning years, with payment expected in the third quarter of 2024. As of June 30, 2023, this receivable is included within Other deferred debits and other assets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Disaggregation</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disaggregate the revenue recognized from contracts with customers into categories that depict how the nature, amount, timing, and uncertainty of revenue and cash flows are affected by economic factors. See Note 5 — Segment Information for the presentation of revenue disaggregation.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Segment Information</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Operating segments are determined based on information used by the CODM in deciding how to evaluate performance and allocate resources. We have five reportable segments consisting of the Mid-Atlantic, Midwest, New York, ERCOT, and all other power regions referred to collectively as “Other Power Regions.”</w:t>
      </w:r>
    </w:p>
    <w:p>
      <w:pPr>
        <w:spacing w:after="0" w:line="32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basis for our reportable segments is the integrated management of our electricity business that is located in different geographic regions, and largely representative of the footprints of ISO/RTO and/or NERC regions, which utilize multiple supply sources to provide electricity through various distribution channels (wholesale and retail). Our hedging strategies and risk metrics are also aligned to these same geographic regions. Descriptions of each of our five reportable segments are as follows:</w:t>
      </w:r>
    </w:p>
    <w:p>
      <w:pPr>
        <w:spacing w:after="0" w:line="120" w:lineRule="exact"/>
        <w:rPr>
          <w:sz w:val="20"/>
          <w:szCs w:val="20"/>
          <w:color w:val="auto"/>
        </w:rPr>
      </w:pPr>
    </w:p>
    <w:p>
      <w:pPr>
        <w:ind w:left="780" w:hanging="326"/>
        <w:spacing w:after="0" w:line="28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Mid-Atlantic </w:t>
      </w:r>
      <w:r>
        <w:rPr>
          <w:rFonts w:ascii="Arial" w:cs="Arial" w:eastAsia="Arial" w:hAnsi="Arial"/>
          <w:sz w:val="16"/>
          <w:szCs w:val="16"/>
          <w:color w:val="auto"/>
        </w:rPr>
        <w:t>represents operations in the eastern half of PJM, which includes New Jersey, Maryland, Virginia, West Virginia, Delaware, the</w:t>
      </w:r>
      <w:r>
        <w:rPr>
          <w:rFonts w:ascii="Arial" w:cs="Arial" w:eastAsia="Arial" w:hAnsi="Arial"/>
          <w:sz w:val="16"/>
          <w:szCs w:val="16"/>
          <w:b w:val="1"/>
          <w:bCs w:val="1"/>
          <w:color w:val="auto"/>
        </w:rPr>
        <w:t xml:space="preserve"> </w:t>
      </w:r>
      <w:r>
        <w:rPr>
          <w:rFonts w:ascii="Arial" w:cs="Arial" w:eastAsia="Arial" w:hAnsi="Arial"/>
          <w:sz w:val="16"/>
          <w:szCs w:val="16"/>
          <w:color w:val="auto"/>
        </w:rPr>
        <w:t>District of Columbia, and parts of Pennsylvania and North Carolina.</w:t>
      </w:r>
    </w:p>
    <w:p>
      <w:pPr>
        <w:spacing w:after="0" w:line="115"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Midwest </w:t>
      </w:r>
      <w:r>
        <w:rPr>
          <w:rFonts w:ascii="Arial" w:cs="Arial" w:eastAsia="Arial" w:hAnsi="Arial"/>
          <w:sz w:val="16"/>
          <w:szCs w:val="16"/>
          <w:color w:val="auto"/>
        </w:rPr>
        <w:t>represents operations in the western half of PJM and the United States footprint of MISO, excluding MISO’s Southern Region.</w:t>
      </w:r>
    </w:p>
    <w:p>
      <w:pPr>
        <w:spacing w:after="0" w:line="167"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New York </w:t>
      </w:r>
      <w:r>
        <w:rPr>
          <w:rFonts w:ascii="Arial" w:cs="Arial" w:eastAsia="Arial" w:hAnsi="Arial"/>
          <w:sz w:val="16"/>
          <w:szCs w:val="16"/>
          <w:color w:val="auto"/>
        </w:rPr>
        <w:t>represents operations within NYISO.</w:t>
      </w:r>
    </w:p>
    <w:p>
      <w:pPr>
        <w:spacing w:after="0" w:line="180"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ERCOT </w:t>
      </w:r>
      <w:r>
        <w:rPr>
          <w:rFonts w:ascii="Arial" w:cs="Arial" w:eastAsia="Arial" w:hAnsi="Arial"/>
          <w:sz w:val="16"/>
          <w:szCs w:val="16"/>
          <w:color w:val="auto"/>
        </w:rPr>
        <w:t>represents operations within Electric Reliability Council of Texas that covers a majority of the state of Texas.</w:t>
      </w:r>
    </w:p>
    <w:p>
      <w:pPr>
        <w:spacing w:after="0" w:line="167"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Other Power Regions:</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New England </w:t>
      </w:r>
      <w:r>
        <w:rPr>
          <w:rFonts w:ascii="Arial" w:cs="Arial" w:eastAsia="Arial" w:hAnsi="Arial"/>
          <w:sz w:val="16"/>
          <w:szCs w:val="16"/>
          <w:color w:val="auto"/>
        </w:rPr>
        <w:t>represents operations within ISO-NE.</w:t>
      </w:r>
    </w:p>
    <w:p>
      <w:pPr>
        <w:spacing w:after="0" w:line="180" w:lineRule="exact"/>
        <w:rPr>
          <w:rFonts w:ascii="Arial" w:cs="Arial" w:eastAsia="Arial" w:hAnsi="Arial"/>
          <w:sz w:val="16"/>
          <w:szCs w:val="16"/>
          <w:b w:val="1"/>
          <w:bCs w:val="1"/>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South </w:t>
      </w:r>
      <w:r>
        <w:rPr>
          <w:rFonts w:ascii="Arial" w:cs="Arial" w:eastAsia="Arial" w:hAnsi="Arial"/>
          <w:sz w:val="16"/>
          <w:szCs w:val="16"/>
          <w:color w:val="auto"/>
        </w:rPr>
        <w:t>represents operations in FRCC, MISO’s Southern Region, and the remaining portions of SERC not included within MISO or PJM.</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West </w:t>
      </w:r>
      <w:r>
        <w:rPr>
          <w:rFonts w:ascii="Arial" w:cs="Arial" w:eastAsia="Arial" w:hAnsi="Arial"/>
          <w:sz w:val="16"/>
          <w:szCs w:val="16"/>
          <w:color w:val="auto"/>
        </w:rPr>
        <w:t>represents operations in WECC, which includes CAISO.</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Canada </w:t>
      </w:r>
      <w:r>
        <w:rPr>
          <w:rFonts w:ascii="Arial" w:cs="Arial" w:eastAsia="Arial" w:hAnsi="Arial"/>
          <w:sz w:val="16"/>
          <w:szCs w:val="16"/>
          <w:color w:val="auto"/>
        </w:rPr>
        <w:t>represents operations across the entire country of Canada and includes AESO, OIESO, and the Canadian portion of MISO.</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CODM evaluates the performance of our electric business activities and allocates resources based on Operating revenues net of Purchased power and fuel expense (RNF). We believe this is a useful measurement of operational performance, although it is not a presentation defined under GAAP and may not be comparable to other companies’ presentations of similarly titled measures or deemed more useful than the GAAP information provided elsewhere in these financial statements. Our operating revenues include all sales to third parties and affiliate sales to Exelon's utility subsidiaries prior to the separation. Purchased power costs include all costs associated with the procurement and supply of electricity including capacity, energy, and ancillary services. Fuel expense includes the fuel costs for our owned generation and fuel costs associated with tolling agreements. The results of our other business activities are not regularly reviewed by the CODM and are therefore not classified as operating segments or included in the regional reportable segment amounts. These activities include wholesale and retail sales of natural gas, as well as other miscellaneous business activities that are not significant to our overall results of operations. Further, our unrealized mark-to-market gains and losses on economic hedging activities and our amortization of certain intangible assets and liabilities relating to commodity contracts recorded at fair value from mergers and acquisitions are also excluded from the regional reportable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Note 5 — Segment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segment amounts. The CODM does not use a measure of total assets in making decisions regarding allocating resources to or assessing the performance of these reportable segments.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tables disaggregate the revenue recognized from contracts with customers into categories that depict how the nature, amount, timing, and uncertainty of revenue and cash flows are affected by economic factors. The disaggregation of revenues reflects our two primary products of power sales and natural gas sales, with further disaggregation of power sales provided by geographic region. The following tables also show the reconciliation of reportable segment revenues and RNF to our total revenues and RNF for the three and six months ended June 30, 2023 and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6"/>
          </w:tcPr>
          <w:p>
            <w:pPr>
              <w:jc w:val="center"/>
              <w:ind w:left="742"/>
              <w:spacing w:after="0"/>
              <w:rPr>
                <w:sz w:val="20"/>
                <w:szCs w:val="20"/>
                <w:color w:val="auto"/>
              </w:rPr>
            </w:pPr>
            <w:r>
              <w:rPr>
                <w:rFonts w:ascii="Arial" w:cs="Arial" w:eastAsia="Arial" w:hAnsi="Arial"/>
                <w:sz w:val="13"/>
                <w:szCs w:val="13"/>
                <w:b w:val="1"/>
                <w:bCs w:val="1"/>
                <w:color w:val="auto"/>
                <w:w w:val="96"/>
              </w:rPr>
              <w:t>Three Months Ended June 30, 2023</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
        </w:trPr>
        <w:tc>
          <w:tcPr>
            <w:tcW w:w="40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69"/>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center"/>
              <w:ind w:left="684"/>
              <w:spacing w:after="0"/>
              <w:rPr>
                <w:sz w:val="20"/>
                <w:szCs w:val="20"/>
                <w:color w:val="auto"/>
              </w:rPr>
            </w:pPr>
            <w:r>
              <w:rPr>
                <w:rFonts w:ascii="Arial" w:cs="Arial" w:eastAsia="Arial" w:hAnsi="Arial"/>
                <w:sz w:val="13"/>
                <w:szCs w:val="13"/>
                <w:b w:val="1"/>
                <w:bCs w:val="1"/>
                <w:color w:val="auto"/>
                <w:w w:val="96"/>
              </w:rPr>
              <w:t>Revenues from external customers</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7"/>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4"/>
              <w:spacing w:after="0" w:line="148" w:lineRule="exact"/>
              <w:rPr>
                <w:sz w:val="20"/>
                <w:szCs w:val="20"/>
                <w:color w:val="auto"/>
              </w:rPr>
            </w:pPr>
            <w:r>
              <w:rPr>
                <w:rFonts w:ascii="Arial" w:cs="Arial" w:eastAsia="Arial" w:hAnsi="Arial"/>
                <w:sz w:val="13"/>
                <w:szCs w:val="13"/>
                <w:b w:val="1"/>
                <w:bCs w:val="1"/>
                <w:color w:val="auto"/>
                <w:w w:val="97"/>
              </w:rPr>
              <w:t>Contracts with</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202"/>
              <w:spacing w:after="0" w:line="148" w:lineRule="exact"/>
              <w:rPr>
                <w:sz w:val="20"/>
                <w:szCs w:val="20"/>
                <w:color w:val="auto"/>
              </w:rPr>
            </w:pPr>
            <w:r>
              <w:rPr>
                <w:rFonts w:ascii="Arial" w:cs="Arial" w:eastAsia="Arial" w:hAnsi="Arial"/>
                <w:sz w:val="13"/>
                <w:szCs w:val="13"/>
                <w:b w:val="1"/>
                <w:bCs w:val="1"/>
                <w:color w:val="auto"/>
                <w:w w:val="95"/>
              </w:rPr>
              <w:t>Intersegment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7"/>
        </w:trPr>
        <w:tc>
          <w:tcPr>
            <w:tcW w:w="4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7"/>
              </w:rPr>
              <w:t>customers</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2"/>
              </w:rPr>
              <w:t>Other</w:t>
            </w:r>
            <w:r>
              <w:rPr>
                <w:rFonts w:ascii="Arial" w:cs="Arial" w:eastAsia="Arial" w:hAnsi="Arial"/>
                <w:sz w:val="16"/>
                <w:szCs w:val="16"/>
                <w:b w:val="1"/>
                <w:bCs w:val="1"/>
                <w:color w:val="auto"/>
                <w:w w:val="92"/>
                <w:vertAlign w:val="superscript"/>
              </w:rPr>
              <w:t>(a)</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21"/>
              <w:spacing w:after="0"/>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3"/>
                <w:szCs w:val="13"/>
                <w:b w:val="1"/>
                <w:bCs w:val="1"/>
                <w:color w:val="auto"/>
                <w:w w:val="94"/>
              </w:rPr>
              <w:t>Revenues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9"/>
              </w:rPr>
              <w:t>Total Revenues</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1,208</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1,198</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Midwest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1,330</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471</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ERCOT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328</w:t>
            </w:r>
          </w:p>
        </w:tc>
      </w:tr>
      <w:tr>
        <w:trPr>
          <w:trHeight w:val="21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1,111</w:t>
            </w: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color w:val="auto"/>
              </w:rPr>
              <w:t>Total Competitive Businesses Electric Revenues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4,438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4,438</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Competitive Businesses Natural Gas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656</w:t>
            </w: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Competitive Businesses Other Revenues</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352</w:t>
            </w:r>
          </w:p>
        </w:tc>
      </w:tr>
      <w:tr>
        <w:trPr>
          <w:trHeight w:val="23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Consolidated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5,446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5,446</w:t>
            </w: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84"/>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6"/>
          </w:tcPr>
          <w:p>
            <w:pPr>
              <w:jc w:val="center"/>
              <w:ind w:left="742"/>
              <w:spacing w:after="0"/>
              <w:rPr>
                <w:sz w:val="20"/>
                <w:szCs w:val="20"/>
                <w:color w:val="auto"/>
              </w:rPr>
            </w:pPr>
            <w:r>
              <w:rPr>
                <w:rFonts w:ascii="Arial" w:cs="Arial" w:eastAsia="Arial" w:hAnsi="Arial"/>
                <w:sz w:val="13"/>
                <w:szCs w:val="13"/>
                <w:b w:val="1"/>
                <w:bCs w:val="1"/>
                <w:color w:val="auto"/>
                <w:w w:val="96"/>
              </w:rPr>
              <w:t>Three Months Ended June 30, 2022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6"/>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center"/>
              <w:ind w:left="684"/>
              <w:spacing w:after="0"/>
              <w:rPr>
                <w:sz w:val="20"/>
                <w:szCs w:val="20"/>
                <w:color w:val="auto"/>
              </w:rPr>
            </w:pPr>
            <w:r>
              <w:rPr>
                <w:rFonts w:ascii="Arial" w:cs="Arial" w:eastAsia="Arial" w:hAnsi="Arial"/>
                <w:sz w:val="13"/>
                <w:szCs w:val="13"/>
                <w:b w:val="1"/>
                <w:bCs w:val="1"/>
                <w:color w:val="auto"/>
                <w:w w:val="96"/>
              </w:rPr>
              <w:t>Revenues from external customers</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1"/>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84"/>
              <w:spacing w:after="0"/>
              <w:rPr>
                <w:sz w:val="20"/>
                <w:szCs w:val="20"/>
                <w:color w:val="auto"/>
              </w:rPr>
            </w:pPr>
            <w:r>
              <w:rPr>
                <w:rFonts w:ascii="Arial" w:cs="Arial" w:eastAsia="Arial" w:hAnsi="Arial"/>
                <w:sz w:val="13"/>
                <w:szCs w:val="13"/>
                <w:b w:val="1"/>
                <w:bCs w:val="1"/>
                <w:color w:val="auto"/>
                <w:w w:val="97"/>
              </w:rPr>
              <w:t>Contracts with</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202"/>
              <w:spacing w:after="0"/>
              <w:rPr>
                <w:sz w:val="20"/>
                <w:szCs w:val="20"/>
                <w:color w:val="auto"/>
              </w:rPr>
            </w:pPr>
            <w:r>
              <w:rPr>
                <w:rFonts w:ascii="Arial" w:cs="Arial" w:eastAsia="Arial" w:hAnsi="Arial"/>
                <w:sz w:val="13"/>
                <w:szCs w:val="13"/>
                <w:b w:val="1"/>
                <w:bCs w:val="1"/>
                <w:color w:val="auto"/>
                <w:w w:val="95"/>
              </w:rPr>
              <w:t>Intersegment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97"/>
        </w:trPr>
        <w:tc>
          <w:tcPr>
            <w:tcW w:w="4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7"/>
              </w:rPr>
              <w:t>customers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2"/>
              </w:rPr>
              <w:t>Other</w:t>
            </w:r>
            <w:r>
              <w:rPr>
                <w:rFonts w:ascii="Arial" w:cs="Arial" w:eastAsia="Arial" w:hAnsi="Arial"/>
                <w:sz w:val="16"/>
                <w:szCs w:val="16"/>
                <w:b w:val="1"/>
                <w:bCs w:val="1"/>
                <w:color w:val="auto"/>
                <w:w w:val="92"/>
                <w:vertAlign w:val="superscript"/>
              </w:rPr>
              <w:t>(a)</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21"/>
              <w:spacing w:after="0"/>
              <w:rPr>
                <w:sz w:val="20"/>
                <w:szCs w:val="20"/>
                <w:color w:val="auto"/>
              </w:rPr>
            </w:pPr>
            <w:r>
              <w:rPr>
                <w:rFonts w:ascii="Arial" w:cs="Arial" w:eastAsia="Arial" w:hAnsi="Arial"/>
                <w:sz w:val="13"/>
                <w:szCs w:val="13"/>
                <w:b w:val="1"/>
                <w:bCs w:val="1"/>
                <w:color w:val="auto"/>
                <w:w w:val="96"/>
              </w:rPr>
              <w:t>Total</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3"/>
                <w:szCs w:val="13"/>
                <w:b w:val="1"/>
                <w:bCs w:val="1"/>
                <w:color w:val="auto"/>
                <w:w w:val="94"/>
              </w:rPr>
              <w:t>Revenues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9"/>
              </w:rPr>
              <w:t>Total Revenues</w:t>
            </w:r>
          </w:p>
        </w:tc>
      </w:tr>
      <w:tr>
        <w:trPr>
          <w:trHeight w:val="21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1,200</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1,202</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Midwest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1,101</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390</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ERCOT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485</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1,327</w:t>
            </w:r>
          </w:p>
        </w:tc>
      </w:tr>
      <w:tr>
        <w:trPr>
          <w:trHeight w:val="206"/>
        </w:trPr>
        <w:tc>
          <w:tcPr>
            <w:tcW w:w="4040" w:type="dxa"/>
            <w:vAlign w:val="bottom"/>
          </w:tcPr>
          <w:p>
            <w:pPr>
              <w:ind w:left="20"/>
              <w:spacing w:after="0"/>
              <w:rPr>
                <w:sz w:val="20"/>
                <w:szCs w:val="20"/>
                <w:color w:val="auto"/>
              </w:rPr>
            </w:pPr>
            <w:r>
              <w:rPr>
                <w:rFonts w:ascii="Arial" w:cs="Arial" w:eastAsia="Arial" w:hAnsi="Arial"/>
                <w:sz w:val="16"/>
                <w:szCs w:val="16"/>
                <w:color w:val="auto"/>
              </w:rPr>
              <w:t>Total Competitive Businesses Electric Revenues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4,505</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Competitive Businesses Natural Gas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1,035</w:t>
            </w:r>
          </w:p>
        </w:tc>
      </w:tr>
      <w:tr>
        <w:trPr>
          <w:trHeight w:val="216"/>
        </w:trPr>
        <w:tc>
          <w:tcPr>
            <w:tcW w:w="40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Competitive Businesses Other Revenues</w:t>
            </w:r>
            <w:r>
              <w:rPr>
                <w:rFonts w:ascii="Arial" w:cs="Arial" w:eastAsia="Arial" w:hAnsi="Arial"/>
                <w:sz w:val="21"/>
                <w:szCs w:val="21"/>
                <w:color w:val="auto"/>
                <w:vertAlign w:val="superscript"/>
              </w:rPr>
              <w:t>(b)</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Operating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4,896</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52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5,465</w:t>
            </w:r>
          </w:p>
        </w:tc>
        <w:tc>
          <w:tcPr>
            <w:tcW w:w="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5,465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Note 5 — Segment Information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11"/>
          </w:tcPr>
          <w:p>
            <w:pPr>
              <w:jc w:val="center"/>
              <w:ind w:left="482"/>
              <w:spacing w:after="0"/>
              <w:rPr>
                <w:sz w:val="20"/>
                <w:szCs w:val="20"/>
                <w:color w:val="auto"/>
              </w:rPr>
            </w:pPr>
            <w:r>
              <w:rPr>
                <w:rFonts w:ascii="Arial" w:cs="Arial" w:eastAsia="Arial" w:hAnsi="Arial"/>
                <w:sz w:val="13"/>
                <w:szCs w:val="13"/>
                <w:b w:val="1"/>
                <w:bCs w:val="1"/>
                <w:color w:val="auto"/>
                <w:w w:val="96"/>
              </w:rPr>
              <w:t>Six Months Ended June 30, 2023</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69"/>
        </w:trPr>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3"/>
                <w:szCs w:val="13"/>
                <w:b w:val="1"/>
                <w:bCs w:val="1"/>
                <w:color w:val="auto"/>
              </w:rPr>
              <w:t>Revenues from external customers</w:t>
            </w: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7"/>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Contracts with</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Intersegment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1"/>
        </w:trPr>
        <w:tc>
          <w:tcPr>
            <w:tcW w:w="4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w w:val="97"/>
              </w:rPr>
              <w:t>customers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6"/>
                <w:szCs w:val="16"/>
                <w:b w:val="1"/>
                <w:bCs w:val="1"/>
                <w:color w:val="auto"/>
                <w:vertAlign w:val="superscript"/>
              </w:rPr>
              <w:t>(a)</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Revenues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 Revenues</w:t>
            </w: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3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w:t>
            </w:r>
          </w:p>
        </w:tc>
        <w:tc>
          <w:tcPr>
            <w:tcW w:w="4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Midwest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2,361</w:t>
            </w:r>
          </w:p>
        </w:tc>
        <w:tc>
          <w:tcPr>
            <w:tcW w:w="40" w:type="dxa"/>
            <w:vAlign w:val="bottom"/>
          </w:tcPr>
          <w:p>
            <w:pPr>
              <w:spacing w:after="0"/>
              <w:rPr>
                <w:sz w:val="18"/>
                <w:szCs w:val="18"/>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40" w:type="dxa"/>
            <w:vAlign w:val="bottom"/>
            <w:shd w:val="clear" w:color="auto" w:fill="CCEEFF"/>
          </w:tcPr>
          <w:p>
            <w:pPr>
              <w:spacing w:after="0"/>
              <w:rPr>
                <w:sz w:val="19"/>
                <w:szCs w:val="19"/>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ERCOT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497</w:t>
            </w:r>
          </w:p>
        </w:tc>
        <w:tc>
          <w:tcPr>
            <w:tcW w:w="40" w:type="dxa"/>
            <w:vAlign w:val="bottom"/>
          </w:tcPr>
          <w:p>
            <w:pPr>
              <w:spacing w:after="0"/>
              <w:rPr>
                <w:sz w:val="18"/>
                <w:szCs w:val="18"/>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40" w:type="dxa"/>
            <w:vAlign w:val="bottom"/>
            <w:tcBorders>
              <w:bottom w:val="single" w:sz="8" w:color="auto"/>
            </w:tcBorders>
            <w:shd w:val="clear" w:color="auto" w:fill="CCEEFF"/>
          </w:tcPr>
          <w:p>
            <w:pPr>
              <w:spacing w:after="0"/>
              <w:rPr>
                <w:sz w:val="19"/>
                <w:szCs w:val="19"/>
                <w:color w:val="auto"/>
              </w:rPr>
            </w:pPr>
          </w:p>
        </w:tc>
      </w:tr>
      <w:tr>
        <w:trPr>
          <w:trHeight w:val="207"/>
        </w:trPr>
        <w:tc>
          <w:tcPr>
            <w:tcW w:w="4040" w:type="dxa"/>
            <w:vAlign w:val="bottom"/>
          </w:tcPr>
          <w:p>
            <w:pPr>
              <w:ind w:left="20"/>
              <w:spacing w:after="0"/>
              <w:rPr>
                <w:sz w:val="20"/>
                <w:szCs w:val="20"/>
                <w:color w:val="auto"/>
              </w:rPr>
            </w:pPr>
            <w:r>
              <w:rPr>
                <w:rFonts w:ascii="Arial" w:cs="Arial" w:eastAsia="Arial" w:hAnsi="Arial"/>
                <w:sz w:val="16"/>
                <w:szCs w:val="16"/>
                <w:color w:val="auto"/>
              </w:rPr>
              <w:t>Total Competitive Businesses Electric Revenues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9,210</w:t>
            </w:r>
          </w:p>
        </w:tc>
        <w:tc>
          <w:tcPr>
            <w:tcW w:w="40" w:type="dxa"/>
            <w:vAlign w:val="bottom"/>
          </w:tcPr>
          <w:p>
            <w:pPr>
              <w:spacing w:after="0"/>
              <w:rPr>
                <w:sz w:val="17"/>
                <w:szCs w:val="17"/>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Competitive Businesses Natural Gas Revenues</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40" w:type="dxa"/>
            <w:vAlign w:val="bottom"/>
            <w:shd w:val="clear" w:color="auto" w:fill="CCEEFF"/>
          </w:tcPr>
          <w:p>
            <w:pPr>
              <w:spacing w:after="0"/>
              <w:rPr>
                <w:sz w:val="19"/>
                <w:szCs w:val="19"/>
                <w:color w:val="auto"/>
              </w:rPr>
            </w:pPr>
          </w:p>
        </w:tc>
      </w:tr>
      <w:tr>
        <w:trPr>
          <w:trHeight w:val="216"/>
        </w:trPr>
        <w:tc>
          <w:tcPr>
            <w:tcW w:w="40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Competitive Businesses Other Revenues</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40" w:type="dxa"/>
            <w:vAlign w:val="bottom"/>
            <w:tcBorders>
              <w:bottom w:val="single" w:sz="8" w:color="auto"/>
            </w:tcBorders>
          </w:tcPr>
          <w:p>
            <w:pPr>
              <w:spacing w:after="0"/>
              <w:rPr>
                <w:sz w:val="18"/>
                <w:szCs w:val="18"/>
                <w:color w:val="auto"/>
              </w:rPr>
            </w:pPr>
          </w:p>
        </w:tc>
      </w:tr>
      <w:tr>
        <w:trPr>
          <w:trHeight w:val="22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Consolidated Operating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2,479</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13,011</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13,011</w:t>
            </w:r>
          </w:p>
        </w:tc>
        <w:tc>
          <w:tcPr>
            <w:tcW w:w="40" w:type="dxa"/>
            <w:vAlign w:val="bottom"/>
            <w:tcBorders>
              <w:bottom w:val="single" w:sz="8" w:color="auto"/>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52"/>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gridSpan w:val="13"/>
          </w:tcPr>
          <w:p>
            <w:pPr>
              <w:jc w:val="right"/>
              <w:ind w:right="1100"/>
              <w:spacing w:after="0"/>
              <w:rPr>
                <w:sz w:val="20"/>
                <w:szCs w:val="20"/>
                <w:color w:val="auto"/>
              </w:rPr>
            </w:pPr>
            <w:r>
              <w:rPr>
                <w:rFonts w:ascii="Arial" w:cs="Arial" w:eastAsia="Arial" w:hAnsi="Arial"/>
                <w:sz w:val="13"/>
                <w:szCs w:val="13"/>
                <w:b w:val="1"/>
                <w:bCs w:val="1"/>
                <w:color w:val="auto"/>
              </w:rPr>
              <w:t>Six Months Ended June 30, 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4"/>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11"/>
          </w:tcPr>
          <w:p>
            <w:pPr>
              <w:jc w:val="right"/>
              <w:ind w:right="80"/>
              <w:spacing w:after="0" w:line="169" w:lineRule="exact"/>
              <w:rPr>
                <w:sz w:val="20"/>
                <w:szCs w:val="20"/>
                <w:color w:val="auto"/>
              </w:rPr>
            </w:pPr>
            <w:r>
              <w:rPr>
                <w:rFonts w:ascii="Arial" w:cs="Arial" w:eastAsia="Arial" w:hAnsi="Arial"/>
                <w:sz w:val="13"/>
                <w:szCs w:val="13"/>
                <w:b w:val="1"/>
                <w:bCs w:val="1"/>
                <w:color w:val="auto"/>
              </w:rPr>
              <w:t>Revenues from external customers</w:t>
            </w:r>
            <w:r>
              <w:rPr>
                <w:rFonts w:ascii="Arial" w:cs="Arial" w:eastAsia="Arial" w:hAnsi="Arial"/>
                <w:sz w:val="16"/>
                <w:szCs w:val="16"/>
                <w:b w:val="1"/>
                <w:bCs w:val="1"/>
                <w:color w:val="auto"/>
                <w:vertAlign w:val="superscript"/>
              </w:rPr>
              <w:t>(c)</w:t>
            </w: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4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jc w:val="right"/>
              <w:ind w:right="239"/>
              <w:spacing w:after="0"/>
              <w:rPr>
                <w:sz w:val="20"/>
                <w:szCs w:val="20"/>
                <w:color w:val="auto"/>
              </w:rPr>
            </w:pPr>
            <w:r>
              <w:rPr>
                <w:rFonts w:ascii="Arial" w:cs="Arial" w:eastAsia="Arial" w:hAnsi="Arial"/>
                <w:sz w:val="13"/>
                <w:szCs w:val="13"/>
                <w:b w:val="1"/>
                <w:bCs w:val="1"/>
                <w:color w:val="auto"/>
              </w:rPr>
              <w:t>Contracts with</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5"/>
              </w:rPr>
              <w:t>Intersegment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40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customers</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6"/>
                <w:szCs w:val="16"/>
                <w:b w:val="1"/>
                <w:bCs w:val="1"/>
                <w:color w:val="auto"/>
                <w:vertAlign w:val="superscript"/>
              </w:rPr>
              <w:t>(a)</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Revenues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7"/>
              </w:rPr>
              <w:t>Total Revenues</w:t>
            </w:r>
          </w:p>
        </w:tc>
        <w:tc>
          <w:tcPr>
            <w:tcW w:w="40" w:type="dxa"/>
            <w:vAlign w:val="bottom"/>
          </w:tcPr>
          <w:p>
            <w:pPr>
              <w:spacing w:after="0"/>
              <w:rPr>
                <w:sz w:val="17"/>
                <w:szCs w:val="17"/>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34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2,305</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2,307</w:t>
            </w:r>
          </w:p>
        </w:tc>
        <w:tc>
          <w:tcPr>
            <w:tcW w:w="40" w:type="dxa"/>
            <w:vAlign w:val="bottom"/>
          </w:tcPr>
          <w:p>
            <w:pPr>
              <w:spacing w:after="0"/>
              <w:rPr>
                <w:sz w:val="20"/>
                <w:szCs w:val="20"/>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6"/>
                <w:szCs w:val="16"/>
                <w:color w:val="auto"/>
              </w:rPr>
              <w:t>Midwest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2,299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2,298</w:t>
            </w:r>
          </w:p>
        </w:tc>
        <w:tc>
          <w:tcPr>
            <w:tcW w:w="40" w:type="dxa"/>
            <w:vAlign w:val="bottom"/>
          </w:tcPr>
          <w:p>
            <w:pPr>
              <w:spacing w:after="0"/>
              <w:rPr>
                <w:sz w:val="19"/>
                <w:szCs w:val="19"/>
                <w:color w:val="auto"/>
              </w:rPr>
            </w:pPr>
          </w:p>
        </w:tc>
      </w:tr>
      <w:tr>
        <w:trPr>
          <w:trHeight w:val="3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955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755</w:t>
            </w:r>
          </w:p>
        </w:tc>
        <w:tc>
          <w:tcPr>
            <w:tcW w:w="40" w:type="dxa"/>
            <w:vAlign w:val="bottom"/>
          </w:tcPr>
          <w:p>
            <w:pPr>
              <w:spacing w:after="0"/>
              <w:rPr>
                <w:sz w:val="21"/>
                <w:szCs w:val="21"/>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ERCOT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w w:val="97"/>
              </w:rPr>
              <w:t>415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724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720</w:t>
            </w:r>
          </w:p>
        </w:tc>
        <w:tc>
          <w:tcPr>
            <w:tcW w:w="40" w:type="dxa"/>
            <w:vAlign w:val="bottom"/>
          </w:tcPr>
          <w:p>
            <w:pPr>
              <w:spacing w:after="0"/>
              <w:rPr>
                <w:sz w:val="20"/>
                <w:szCs w:val="20"/>
                <w:color w:val="auto"/>
              </w:rPr>
            </w:pPr>
          </w:p>
        </w:tc>
      </w:tr>
      <w:tr>
        <w:trPr>
          <w:trHeight w:val="260"/>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1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2,441</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813</w:t>
            </w: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3,254</w:t>
            </w:r>
          </w:p>
        </w:tc>
        <w:tc>
          <w:tcPr>
            <w:tcW w:w="40" w:type="dxa"/>
            <w:vAlign w:val="bottom"/>
          </w:tcPr>
          <w:p>
            <w:pPr>
              <w:spacing w:after="0"/>
              <w:rPr>
                <w:sz w:val="22"/>
                <w:szCs w:val="22"/>
                <w:color w:val="auto"/>
              </w:rPr>
            </w:pPr>
          </w:p>
        </w:tc>
      </w:tr>
      <w:tr>
        <w:trPr>
          <w:trHeight w:val="233"/>
        </w:trPr>
        <w:tc>
          <w:tcPr>
            <w:tcW w:w="4040" w:type="dxa"/>
            <w:vAlign w:val="bottom"/>
          </w:tcPr>
          <w:p>
            <w:pPr>
              <w:ind w:left="20"/>
              <w:spacing w:after="0"/>
              <w:rPr>
                <w:sz w:val="20"/>
                <w:szCs w:val="20"/>
                <w:color w:val="auto"/>
              </w:rPr>
            </w:pPr>
            <w:r>
              <w:rPr>
                <w:rFonts w:ascii="Arial" w:cs="Arial" w:eastAsia="Arial" w:hAnsi="Arial"/>
                <w:sz w:val="16"/>
                <w:szCs w:val="16"/>
                <w:color w:val="auto"/>
              </w:rPr>
              <w:t>Total Competitive Businesses Electric Revenues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8,709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9,334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9,334</w:t>
            </w:r>
          </w:p>
        </w:tc>
        <w:tc>
          <w:tcPr>
            <w:tcW w:w="40" w:type="dxa"/>
            <w:vAlign w:val="bottom"/>
          </w:tcPr>
          <w:p>
            <w:pPr>
              <w:spacing w:after="0"/>
              <w:rPr>
                <w:sz w:val="20"/>
                <w:szCs w:val="20"/>
                <w:color w:val="auto"/>
              </w:rPr>
            </w:pPr>
          </w:p>
        </w:tc>
      </w:tr>
      <w:tr>
        <w:trPr>
          <w:trHeight w:val="253"/>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Competitive Businesses Natural Gas Revenues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1,179</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2,479</w:t>
            </w:r>
          </w:p>
        </w:tc>
        <w:tc>
          <w:tcPr>
            <w:tcW w:w="40" w:type="dxa"/>
            <w:vAlign w:val="bottom"/>
          </w:tcPr>
          <w:p>
            <w:pPr>
              <w:spacing w:after="0"/>
              <w:rPr>
                <w:sz w:val="21"/>
                <w:szCs w:val="21"/>
                <w:color w:val="auto"/>
              </w:rPr>
            </w:pPr>
          </w:p>
        </w:tc>
      </w:tr>
      <w:tr>
        <w:trPr>
          <w:trHeight w:val="25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Competitive Businesses Other Revenues</w:t>
            </w:r>
            <w:r>
              <w:rPr>
                <w:rFonts w:ascii="Arial" w:cs="Arial" w:eastAsia="Arial" w:hAnsi="Arial"/>
                <w:sz w:val="21"/>
                <w:szCs w:val="21"/>
                <w:color w:val="auto"/>
                <w:vertAlign w:val="superscript"/>
              </w:rPr>
              <w:t>(b)</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261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40" w:type="dxa"/>
            <w:vAlign w:val="bottom"/>
          </w:tcPr>
          <w:p>
            <w:pPr>
              <w:spacing w:after="0"/>
              <w:rPr>
                <w:sz w:val="22"/>
                <w:szCs w:val="22"/>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Consolidated Operating Revenues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10,270</w:t>
            </w:r>
          </w:p>
        </w:tc>
        <w:tc>
          <w:tcPr>
            <w:tcW w:w="34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786</w:t>
            </w:r>
          </w:p>
        </w:tc>
        <w:tc>
          <w:tcPr>
            <w:tcW w:w="2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11,056</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11,056</w:t>
            </w:r>
          </w:p>
        </w:tc>
        <w:tc>
          <w:tcPr>
            <w:tcW w:w="40" w:type="dxa"/>
            <w:vAlign w:val="bottom"/>
          </w:tcPr>
          <w:p>
            <w:pPr>
              <w:spacing w:after="0"/>
              <w:rPr>
                <w:sz w:val="22"/>
                <w:szCs w:val="22"/>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revenues from derivatives and leases.</w:t>
      </w:r>
    </w:p>
    <w:p>
      <w:pPr>
        <w:spacing w:after="0" w:line="4" w:lineRule="exact"/>
        <w:rPr>
          <w:rFonts w:ascii="Arial" w:cs="Arial" w:eastAsia="Arial" w:hAnsi="Arial"/>
          <w:sz w:val="14"/>
          <w:szCs w:val="14"/>
          <w:color w:val="auto"/>
        </w:rPr>
      </w:pPr>
    </w:p>
    <w:p>
      <w:pPr>
        <w:jc w:val="both"/>
        <w:ind w:left="340" w:hanging="332"/>
        <w:spacing w:after="0" w:line="26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activities not allocated to a region. See text above for a description of included activities. Includes unrealized mark-to-market gains of $211 million and losses of $299 million for the three months ended June 30, 2023 and 2022, respectively, and unrealized mark-to-market gains of $1,140 million and losses of $1,219 million for the six months ended June 30, 2023 and 2022, respectively.</w:t>
      </w:r>
    </w:p>
    <w:p>
      <w:pPr>
        <w:ind w:left="340" w:hanging="332"/>
        <w:spacing w:after="0" w:line="283"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all wholesale and retail electric sales to third parties and affiliate sales to Exelon's utility subsidiaries prior to the separation on February 1, 2022. See Note 17 - Related Party Transactions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Note 5 — Segment Information</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gridSpan w:val="7"/>
          </w:tcPr>
          <w:p>
            <w:pPr>
              <w:jc w:val="center"/>
              <w:ind w:left="525"/>
              <w:spacing w:after="0"/>
              <w:rPr>
                <w:sz w:val="20"/>
                <w:szCs w:val="20"/>
                <w:color w:val="auto"/>
              </w:rPr>
            </w:pPr>
            <w:r>
              <w:rPr>
                <w:rFonts w:ascii="Arial" w:cs="Arial" w:eastAsia="Arial" w:hAnsi="Arial"/>
                <w:sz w:val="13"/>
                <w:szCs w:val="13"/>
                <w:b w:val="1"/>
                <w:bCs w:val="1"/>
                <w:color w:val="auto"/>
                <w:w w:val="96"/>
              </w:rPr>
              <w:t>Three Months Ended June 30, 2023</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7"/>
          </w:tcPr>
          <w:p>
            <w:pPr>
              <w:jc w:val="center"/>
              <w:ind w:left="545"/>
              <w:spacing w:after="0"/>
              <w:rPr>
                <w:sz w:val="20"/>
                <w:szCs w:val="20"/>
                <w:color w:val="auto"/>
              </w:rPr>
            </w:pPr>
            <w:r>
              <w:rPr>
                <w:rFonts w:ascii="Arial" w:cs="Arial" w:eastAsia="Arial" w:hAnsi="Arial"/>
                <w:sz w:val="13"/>
                <w:szCs w:val="13"/>
                <w:b w:val="1"/>
                <w:bCs w:val="1"/>
                <w:color w:val="auto"/>
                <w:w w:val="96"/>
              </w:rPr>
              <w:t>Three Months Ended June 30,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2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center"/>
              <w:ind w:right="205"/>
              <w:spacing w:after="0" w:line="120" w:lineRule="exact"/>
              <w:rPr>
                <w:sz w:val="20"/>
                <w:szCs w:val="20"/>
                <w:color w:val="auto"/>
              </w:rPr>
            </w:pPr>
            <w:r>
              <w:rPr>
                <w:rFonts w:ascii="Arial" w:cs="Arial" w:eastAsia="Arial" w:hAnsi="Arial"/>
                <w:sz w:val="13"/>
                <w:szCs w:val="13"/>
                <w:b w:val="1"/>
                <w:bCs w:val="1"/>
                <w:color w:val="auto"/>
                <w:w w:val="97"/>
              </w:rPr>
              <w:t>RNF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97"/>
              </w:rPr>
              <w:t>Intersegment</w:t>
            </w:r>
          </w:p>
        </w:tc>
        <w:tc>
          <w:tcPr>
            <w:tcW w:w="260" w:type="dxa"/>
            <w:vAlign w:val="bottom"/>
          </w:tcPr>
          <w:p>
            <w:pPr>
              <w:spacing w:after="0"/>
              <w:rPr>
                <w:sz w:val="10"/>
                <w:szCs w:val="10"/>
                <w:color w:val="auto"/>
              </w:rPr>
            </w:pPr>
          </w:p>
        </w:tc>
        <w:tc>
          <w:tcPr>
            <w:tcW w:w="8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center"/>
              <w:ind w:right="185"/>
              <w:spacing w:after="0" w:line="120" w:lineRule="exact"/>
              <w:rPr>
                <w:sz w:val="20"/>
                <w:szCs w:val="20"/>
                <w:color w:val="auto"/>
              </w:rPr>
            </w:pPr>
            <w:r>
              <w:rPr>
                <w:rFonts w:ascii="Arial" w:cs="Arial" w:eastAsia="Arial" w:hAnsi="Arial"/>
                <w:sz w:val="13"/>
                <w:szCs w:val="13"/>
                <w:b w:val="1"/>
                <w:bCs w:val="1"/>
                <w:color w:val="auto"/>
                <w:w w:val="97"/>
              </w:rPr>
              <w:t>RNF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97"/>
              </w:rPr>
              <w:t>Intersegment</w:t>
            </w:r>
          </w:p>
        </w:tc>
        <w:tc>
          <w:tcPr>
            <w:tcW w:w="260" w:type="dxa"/>
            <w:vAlign w:val="bottom"/>
          </w:tcPr>
          <w:p>
            <w:pPr>
              <w:spacing w:after="0"/>
              <w:rPr>
                <w:sz w:val="10"/>
                <w:szCs w:val="10"/>
                <w:color w:val="auto"/>
              </w:rPr>
            </w:pPr>
          </w:p>
        </w:tc>
        <w:tc>
          <w:tcPr>
            <w:tcW w:w="8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0"/>
        </w:trPr>
        <w:tc>
          <w:tcPr>
            <w:tcW w:w="2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5"/>
              <w:spacing w:after="0" w:line="130" w:lineRule="exact"/>
              <w:rPr>
                <w:sz w:val="20"/>
                <w:szCs w:val="20"/>
                <w:color w:val="auto"/>
              </w:rPr>
            </w:pPr>
            <w:r>
              <w:rPr>
                <w:rFonts w:ascii="Arial" w:cs="Arial" w:eastAsia="Arial" w:hAnsi="Arial"/>
                <w:sz w:val="13"/>
                <w:szCs w:val="13"/>
                <w:b w:val="1"/>
                <w:bCs w:val="1"/>
                <w:color w:val="auto"/>
                <w:w w:val="96"/>
              </w:rPr>
              <w:t>external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205"/>
              <w:spacing w:after="0" w:line="130" w:lineRule="exact"/>
              <w:rPr>
                <w:sz w:val="20"/>
                <w:szCs w:val="20"/>
                <w:color w:val="auto"/>
              </w:rPr>
            </w:pPr>
            <w:r>
              <w:rPr>
                <w:rFonts w:ascii="Arial" w:cs="Arial" w:eastAsia="Arial" w:hAnsi="Arial"/>
                <w:sz w:val="13"/>
                <w:szCs w:val="13"/>
                <w:b w:val="1"/>
                <w:bCs w:val="1"/>
                <w:color w:val="auto"/>
                <w:w w:val="96"/>
              </w:rPr>
              <w:t>external</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7"/>
              </w:rPr>
              <w:t>customers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7"/>
              </w:rPr>
              <w:t>RNF</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RNF</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05"/>
              <w:spacing w:after="0"/>
              <w:rPr>
                <w:sz w:val="20"/>
                <w:szCs w:val="20"/>
                <w:color w:val="auto"/>
              </w:rPr>
            </w:pPr>
            <w:r>
              <w:rPr>
                <w:rFonts w:ascii="Arial" w:cs="Arial" w:eastAsia="Arial" w:hAnsi="Arial"/>
                <w:sz w:val="13"/>
                <w:szCs w:val="13"/>
                <w:b w:val="1"/>
                <w:bCs w:val="1"/>
                <w:color w:val="auto"/>
                <w:w w:val="97"/>
              </w:rPr>
              <w:t>customers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97"/>
              </w:rPr>
              <w:t>RNF</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RNF</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732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723</w:t>
            </w:r>
          </w:p>
        </w:tc>
        <w:tc>
          <w:tcPr>
            <w:tcW w:w="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542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color w:val="auto"/>
              </w:rPr>
              <w:t>Midwest</w:t>
            </w:r>
          </w:p>
        </w:tc>
        <w:tc>
          <w:tcPr>
            <w:tcW w:w="300" w:type="dxa"/>
            <w:vAlign w:val="bottom"/>
          </w:tcPr>
          <w:p>
            <w:pPr>
              <w:spacing w:after="0"/>
              <w:rPr>
                <w:sz w:val="20"/>
                <w:szCs w:val="20"/>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53"/>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Arial" w:cs="Arial" w:eastAsia="Arial" w:hAnsi="Arial"/>
                <w:sz w:val="16"/>
                <w:szCs w:val="16"/>
                <w:color w:val="auto"/>
              </w:rPr>
              <w:t>ERCOT</w:t>
            </w:r>
          </w:p>
        </w:tc>
        <w:tc>
          <w:tcPr>
            <w:tcW w:w="300" w:type="dxa"/>
            <w:vAlign w:val="bottom"/>
          </w:tcPr>
          <w:p>
            <w:pPr>
              <w:spacing w:after="0"/>
              <w:rPr>
                <w:sz w:val="19"/>
                <w:szCs w:val="19"/>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RNF for Reportable Segments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2,403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1,772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(b)</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6"/>
                <w:szCs w:val="16"/>
                <w:color w:val="auto"/>
              </w:rPr>
              <w:t>Total RNF</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2,559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2,559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2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6"/>
          </w:tcPr>
          <w:p>
            <w:pPr>
              <w:jc w:val="center"/>
              <w:ind w:left="785"/>
              <w:spacing w:after="0"/>
              <w:rPr>
                <w:sz w:val="20"/>
                <w:szCs w:val="20"/>
                <w:color w:val="auto"/>
              </w:rPr>
            </w:pPr>
            <w:r>
              <w:rPr>
                <w:rFonts w:ascii="Arial" w:cs="Arial" w:eastAsia="Arial" w:hAnsi="Arial"/>
                <w:sz w:val="13"/>
                <w:szCs w:val="13"/>
                <w:b w:val="1"/>
                <w:bCs w:val="1"/>
                <w:color w:val="auto"/>
                <w:w w:val="96"/>
              </w:rPr>
              <w:t>Six Months Ended June 30, 2023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6"/>
          </w:tcPr>
          <w:p>
            <w:pPr>
              <w:jc w:val="center"/>
              <w:ind w:left="805"/>
              <w:spacing w:after="0"/>
              <w:rPr>
                <w:sz w:val="20"/>
                <w:szCs w:val="20"/>
                <w:color w:val="auto"/>
              </w:rPr>
            </w:pPr>
            <w:r>
              <w:rPr>
                <w:rFonts w:ascii="Arial" w:cs="Arial" w:eastAsia="Arial" w:hAnsi="Arial"/>
                <w:sz w:val="13"/>
                <w:szCs w:val="13"/>
                <w:b w:val="1"/>
                <w:bCs w:val="1"/>
                <w:color w:val="auto"/>
                <w:w w:val="96"/>
              </w:rPr>
              <w:t>Six Months Ended June 30, 2022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center"/>
              <w:ind w:right="205"/>
              <w:spacing w:after="0" w:line="115" w:lineRule="exact"/>
              <w:rPr>
                <w:sz w:val="20"/>
                <w:szCs w:val="20"/>
                <w:color w:val="auto"/>
              </w:rPr>
            </w:pPr>
            <w:r>
              <w:rPr>
                <w:rFonts w:ascii="Arial" w:cs="Arial" w:eastAsia="Arial" w:hAnsi="Arial"/>
                <w:sz w:val="13"/>
                <w:szCs w:val="13"/>
                <w:b w:val="1"/>
                <w:bCs w:val="1"/>
                <w:color w:val="auto"/>
                <w:w w:val="97"/>
              </w:rPr>
              <w:t>RNF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97"/>
              </w:rPr>
              <w:t>Intersegment</w:t>
            </w:r>
          </w:p>
        </w:tc>
        <w:tc>
          <w:tcPr>
            <w:tcW w:w="260" w:type="dxa"/>
            <w:vAlign w:val="bottom"/>
          </w:tcPr>
          <w:p>
            <w:pPr>
              <w:spacing w:after="0"/>
              <w:rPr>
                <w:sz w:val="10"/>
                <w:szCs w:val="10"/>
                <w:color w:val="auto"/>
              </w:rPr>
            </w:pPr>
          </w:p>
        </w:tc>
        <w:tc>
          <w:tcPr>
            <w:tcW w:w="8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center"/>
              <w:ind w:right="185"/>
              <w:spacing w:after="0" w:line="115" w:lineRule="exact"/>
              <w:rPr>
                <w:sz w:val="20"/>
                <w:szCs w:val="20"/>
                <w:color w:val="auto"/>
              </w:rPr>
            </w:pPr>
            <w:r>
              <w:rPr>
                <w:rFonts w:ascii="Arial" w:cs="Arial" w:eastAsia="Arial" w:hAnsi="Arial"/>
                <w:sz w:val="13"/>
                <w:szCs w:val="13"/>
                <w:b w:val="1"/>
                <w:bCs w:val="1"/>
                <w:color w:val="auto"/>
                <w:w w:val="97"/>
              </w:rPr>
              <w:t>RNF from</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97"/>
              </w:rPr>
              <w:t>Intersegment</w:t>
            </w:r>
          </w:p>
        </w:tc>
        <w:tc>
          <w:tcPr>
            <w:tcW w:w="260" w:type="dxa"/>
            <w:vAlign w:val="bottom"/>
          </w:tcPr>
          <w:p>
            <w:pPr>
              <w:spacing w:after="0"/>
              <w:rPr>
                <w:sz w:val="10"/>
                <w:szCs w:val="10"/>
                <w:color w:val="auto"/>
              </w:rPr>
            </w:pPr>
          </w:p>
        </w:tc>
        <w:tc>
          <w:tcPr>
            <w:tcW w:w="88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jc w:val="center"/>
              <w:ind w:right="225"/>
              <w:spacing w:after="0" w:line="122" w:lineRule="exact"/>
              <w:rPr>
                <w:sz w:val="20"/>
                <w:szCs w:val="20"/>
                <w:color w:val="auto"/>
              </w:rPr>
            </w:pPr>
            <w:r>
              <w:rPr>
                <w:rFonts w:ascii="Arial" w:cs="Arial" w:eastAsia="Arial" w:hAnsi="Arial"/>
                <w:sz w:val="13"/>
                <w:szCs w:val="13"/>
                <w:b w:val="1"/>
                <w:bCs w:val="1"/>
                <w:color w:val="auto"/>
                <w:w w:val="96"/>
              </w:rPr>
              <w:t>external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center"/>
              <w:ind w:right="205"/>
              <w:spacing w:after="0" w:line="122" w:lineRule="exact"/>
              <w:rPr>
                <w:sz w:val="20"/>
                <w:szCs w:val="20"/>
                <w:color w:val="auto"/>
              </w:rPr>
            </w:pPr>
            <w:r>
              <w:rPr>
                <w:rFonts w:ascii="Arial" w:cs="Arial" w:eastAsia="Arial" w:hAnsi="Arial"/>
                <w:sz w:val="13"/>
                <w:szCs w:val="13"/>
                <w:b w:val="1"/>
                <w:bCs w:val="1"/>
                <w:color w:val="auto"/>
                <w:w w:val="96"/>
              </w:rPr>
              <w:t>external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7"/>
              </w:rPr>
              <w:t>customers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7"/>
              </w:rPr>
              <w:t>RNF</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RNF</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3"/>
              </w:rPr>
              <w:t>customers</w:t>
            </w:r>
            <w:r>
              <w:rPr>
                <w:rFonts w:ascii="Arial" w:cs="Arial" w:eastAsia="Arial" w:hAnsi="Arial"/>
                <w:sz w:val="16"/>
                <w:szCs w:val="16"/>
                <w:b w:val="1"/>
                <w:bCs w:val="1"/>
                <w:color w:val="auto"/>
                <w:w w:val="93"/>
                <w:vertAlign w:val="superscript"/>
              </w:rPr>
              <w:t>(a)</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97"/>
              </w:rPr>
              <w:t>RNF</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RNF</w:t>
            </w:r>
          </w:p>
        </w:tc>
        <w:tc>
          <w:tcPr>
            <w:tcW w:w="0" w:type="dxa"/>
            <w:vAlign w:val="bottom"/>
          </w:tcPr>
          <w:p>
            <w:pPr>
              <w:spacing w:after="0"/>
              <w:rPr>
                <w:sz w:val="1"/>
                <w:szCs w:val="1"/>
                <w:color w:val="auto"/>
              </w:rPr>
            </w:pPr>
          </w:p>
        </w:tc>
      </w:tr>
      <w:tr>
        <w:trPr>
          <w:trHeight w:val="23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1,414</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color w:val="auto"/>
              </w:rPr>
              <w:t>Midwest</w:t>
            </w:r>
          </w:p>
        </w:tc>
        <w:tc>
          <w:tcPr>
            <w:tcW w:w="300" w:type="dxa"/>
            <w:vAlign w:val="bottom"/>
          </w:tcPr>
          <w:p>
            <w:pPr>
              <w:spacing w:after="0"/>
              <w:rPr>
                <w:sz w:val="20"/>
                <w:szCs w:val="20"/>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4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color w:val="auto"/>
              </w:rPr>
              <w:t>ERCOT</w:t>
            </w:r>
          </w:p>
        </w:tc>
        <w:tc>
          <w:tcPr>
            <w:tcW w:w="300" w:type="dxa"/>
            <w:vAlign w:val="bottom"/>
          </w:tcPr>
          <w:p>
            <w:pPr>
              <w:spacing w:after="0"/>
              <w:rPr>
                <w:sz w:val="20"/>
                <w:szCs w:val="20"/>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RNF for Reportable Segments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4,349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4,342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3,726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3,676</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(b)</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47"/>
        </w:trPr>
        <w:tc>
          <w:tcPr>
            <w:tcW w:w="2620" w:type="dxa"/>
            <w:vAlign w:val="bottom"/>
          </w:tcPr>
          <w:p>
            <w:pPr>
              <w:ind w:left="20"/>
              <w:spacing w:after="0"/>
              <w:rPr>
                <w:sz w:val="20"/>
                <w:szCs w:val="20"/>
                <w:color w:val="auto"/>
              </w:rPr>
            </w:pPr>
            <w:r>
              <w:rPr>
                <w:rFonts w:ascii="Arial" w:cs="Arial" w:eastAsia="Arial" w:hAnsi="Arial"/>
                <w:sz w:val="16"/>
                <w:szCs w:val="16"/>
                <w:color w:val="auto"/>
              </w:rPr>
              <w:t>Total RNF</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4,395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4,395</w:t>
            </w:r>
          </w:p>
        </w:tc>
        <w:tc>
          <w:tcPr>
            <w:tcW w:w="3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3,997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line="26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purchases and sales from/to third parties and affiliate sales to Exelon's utility subsidiaries prior to the separation on February 1, 2022. See Note 17 - Related Party Transactions for additional information.</w:t>
      </w: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represents activities not allocated to a region. See text above for a description of included activities.</w:t>
      </w:r>
    </w:p>
    <w:p>
      <w:pPr>
        <w:spacing w:after="0" w:line="157" w:lineRule="exact"/>
        <w:rPr>
          <w:sz w:val="20"/>
          <w:szCs w:val="20"/>
          <w:color w:val="auto"/>
        </w:rPr>
      </w:pPr>
    </w:p>
    <w:p>
      <w:pPr>
        <w:ind w:right="9080" w:firstLine="8"/>
        <w:spacing w:after="0" w:line="463" w:lineRule="auto"/>
        <w:tabs>
          <w:tab w:leader="none" w:pos="17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Accounts Receivable Unbilled Customer Revenue</w:t>
      </w:r>
    </w:p>
    <w:p>
      <w:pPr>
        <w:jc w:val="both"/>
        <w:spacing w:after="0" w:line="293" w:lineRule="auto"/>
        <w:rPr>
          <w:sz w:val="20"/>
          <w:szCs w:val="20"/>
          <w:color w:val="auto"/>
        </w:rPr>
      </w:pPr>
      <w:r>
        <w:rPr>
          <w:rFonts w:ascii="Arial" w:cs="Arial" w:eastAsia="Arial" w:hAnsi="Arial"/>
          <w:sz w:val="16"/>
          <w:szCs w:val="16"/>
          <w:color w:val="auto"/>
        </w:rPr>
        <w:t>We recorded $185 million and $564 million of unbilled customer revenues in Customer accounts receivables, net in the Consolidated Balance Sheets as of June 30, 2023 and December 31, 2022,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Customer Accounts Receivable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April 8, 2020, NER, a bankruptcy remote, special purpose entity, which is wholly owned by us, entered into a revolving accounts receivable financing arrangement with a number of financial institutions and a commercial paper conduit (Purchasers) to sell certain customer accounts receivable (Facility). On August 16, 2022, we entered into an amendment on the Facility, which increased the maximum funding limit of the Facility from $900 million to $1.1 billion and extended the term of the Facility through August 15, 2025, unless renewed by the mutual consent of the parties in accordance with its terms. Under the Facility, NER may sell eligible short-term customer accounts receivable to the Purchasers in exchange for cash and subordinated interest. The transfers are reported as sales of receivables in the consolidated financial statements. The subordinated interest in collections upon the receivables sold to the Purchasers is referred to as the DPP, which is reflected in Other current assets in the Consolidated Balance Sheets.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Facility requires the balance of eligible receivables to be maintained at or above the balance of cash proceeds received from the Purchasers. To the extent the eligible receivables decrease below such balance, we are required to repay cash to the Purchasers. When eligible receivables exceed cash proceeds, we have the ability to increase the cash received up to the maximum funding limit. These cash inflows and outflows impact the DPP.</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83" w:lineRule="exact"/>
        <w:rPr>
          <w:sz w:val="20"/>
          <w:szCs w:val="20"/>
          <w:color w:val="auto"/>
        </w:rPr>
      </w:pPr>
    </w:p>
    <w:p>
      <w:pPr>
        <w:ind w:left="9000"/>
        <w:spacing w:after="0"/>
        <w:rPr>
          <w:sz w:val="20"/>
          <w:szCs w:val="20"/>
          <w:color w:val="auto"/>
        </w:rPr>
      </w:pPr>
      <w:r>
        <w:rPr>
          <w:rFonts w:ascii="Arial" w:cs="Arial" w:eastAsia="Arial" w:hAnsi="Arial"/>
          <w:sz w:val="16"/>
          <w:szCs w:val="16"/>
          <w:color w:val="auto"/>
        </w:rPr>
        <w:t>Note 6 — Accounts Receivable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impact of the sale of certain receivables: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2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96"/>
              </w:rPr>
              <w:t>As of June 30, 2023</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7"/>
              </w:rPr>
              <w:t>As of December 31,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Derecognized receivables transferred at fair value</w:t>
            </w:r>
          </w:p>
        </w:tc>
        <w:tc>
          <w:tcPr>
            <w:tcW w:w="840" w:type="dxa"/>
            <w:vAlign w:val="bottom"/>
            <w:gridSpan w:val="2"/>
            <w:shd w:val="clear" w:color="auto" w:fill="CCEEFF"/>
          </w:tcPr>
          <w:p>
            <w:pPr>
              <w:jc w:val="right"/>
              <w:ind w:right="677"/>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1,489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Cash proceeds received</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6"/>
                <w:szCs w:val="16"/>
                <w:color w:val="auto"/>
              </w:rPr>
              <w:t>DPP</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20" w:type="dxa"/>
            <w:vAlign w:val="bottom"/>
            <w:shd w:val="clear" w:color="auto" w:fill="CCEEFF"/>
          </w:tcPr>
          <w:p>
            <w:pPr>
              <w:spacing w:after="0"/>
              <w:rPr>
                <w:sz w:val="19"/>
                <w:szCs w:val="19"/>
                <w:color w:val="auto"/>
              </w:rPr>
            </w:pPr>
          </w:p>
        </w:tc>
      </w:tr>
      <w:tr>
        <w:trPr>
          <w:trHeight w:val="680"/>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4"/>
          </w:tcPr>
          <w:p>
            <w:pPr>
              <w:jc w:val="center"/>
              <w:ind w:left="417"/>
              <w:spacing w:after="0"/>
              <w:rPr>
                <w:sz w:val="20"/>
                <w:szCs w:val="20"/>
                <w:color w:val="auto"/>
              </w:rPr>
            </w:pPr>
            <w:r>
              <w:rPr>
                <w:rFonts w:ascii="Arial" w:cs="Arial" w:eastAsia="Arial" w:hAnsi="Arial"/>
                <w:sz w:val="13"/>
                <w:szCs w:val="13"/>
                <w:b w:val="1"/>
                <w:bCs w:val="1"/>
                <w:color w:val="auto"/>
                <w:w w:val="96"/>
              </w:rPr>
              <w:t>Three Months Ended June 30,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96"/>
              </w:rPr>
              <w:t>Six Months Ended June 30,</w:t>
            </w:r>
          </w:p>
        </w:tc>
      </w:tr>
      <w:tr>
        <w:trPr>
          <w:trHeight w:val="22"/>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Loss on sale of receivables</w:t>
            </w:r>
            <w:r>
              <w:rPr>
                <w:rFonts w:ascii="Arial" w:cs="Arial" w:eastAsia="Arial" w:hAnsi="Arial"/>
                <w:sz w:val="21"/>
                <w:szCs w:val="21"/>
                <w:color w:val="auto"/>
                <w:vertAlign w:val="superscript"/>
              </w:rPr>
              <w:t>(a)</w:t>
            </w:r>
          </w:p>
        </w:tc>
        <w:tc>
          <w:tcPr>
            <w:tcW w:w="840" w:type="dxa"/>
            <w:vAlign w:val="bottom"/>
            <w:gridSpan w:val="2"/>
            <w:shd w:val="clear" w:color="auto" w:fill="CCEEFF"/>
          </w:tcPr>
          <w:p>
            <w:pPr>
              <w:jc w:val="right"/>
              <w:ind w:right="657"/>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26</w:t>
            </w:r>
          </w:p>
        </w:tc>
        <w:tc>
          <w:tcPr>
            <w:tcW w:w="980" w:type="dxa"/>
            <w:vAlign w:val="bottom"/>
            <w:gridSpan w:val="2"/>
            <w:shd w:val="clear" w:color="auto" w:fill="CCEEFF"/>
          </w:tcPr>
          <w:p>
            <w:pPr>
              <w:jc w:val="right"/>
              <w:ind w:right="697"/>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8"/>
                <w:szCs w:val="18"/>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340" w:hanging="332"/>
        <w:spacing w:after="0" w:line="27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Reflected in Operating and maintenance expense in the Consolidated Statements of Operations and Comprehensive Income. This represents the amount by which the accounts receivable sold into the Facility are discounted, limited to credit losses.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0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Six Months Ended June 30,</w:t>
            </w:r>
          </w:p>
        </w:tc>
        <w:tc>
          <w:tcPr>
            <w:tcW w:w="1840" w:type="dxa"/>
            <w:vAlign w:val="bottom"/>
            <w:tcBorders>
              <w:bottom w:val="single" w:sz="8" w:color="auto"/>
            </w:tcBorders>
          </w:tcPr>
          <w:p>
            <w:pPr>
              <w:spacing w:after="0"/>
              <w:rPr>
                <w:sz w:val="15"/>
                <w:szCs w:val="15"/>
                <w:color w:val="auto"/>
              </w:rPr>
            </w:pPr>
          </w:p>
        </w:tc>
      </w:tr>
      <w:tr>
        <w:trPr>
          <w:trHeight w:val="180"/>
        </w:trPr>
        <w:tc>
          <w:tcPr>
            <w:tcW w:w="54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2023</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224"/>
              <w:spacing w:after="0"/>
              <w:rPr>
                <w:sz w:val="20"/>
                <w:szCs w:val="20"/>
                <w:color w:val="auto"/>
              </w:rPr>
            </w:pPr>
            <w:r>
              <w:rPr>
                <w:rFonts w:ascii="Arial" w:cs="Arial" w:eastAsia="Arial" w:hAnsi="Arial"/>
                <w:sz w:val="13"/>
                <w:szCs w:val="13"/>
                <w:b w:val="1"/>
                <w:bCs w:val="1"/>
                <w:color w:val="auto"/>
              </w:rPr>
              <w:t>2022</w:t>
            </w:r>
          </w:p>
        </w:tc>
      </w:tr>
      <w:tr>
        <w:trPr>
          <w:trHeight w:val="216"/>
        </w:trPr>
        <w:tc>
          <w:tcPr>
            <w:tcW w:w="5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Proceeds from new transfers</w:t>
            </w:r>
            <w:r>
              <w:rPr>
                <w:rFonts w:ascii="Arial" w:cs="Arial" w:eastAsia="Arial" w:hAnsi="Arial"/>
                <w:sz w:val="21"/>
                <w:szCs w:val="21"/>
                <w:color w:val="auto"/>
                <w:vertAlign w:val="superscript"/>
              </w:rPr>
              <w:t>(a)</w:t>
            </w:r>
          </w:p>
        </w:tc>
        <w:tc>
          <w:tcPr>
            <w:tcW w:w="1840" w:type="dxa"/>
            <w:vAlign w:val="bottom"/>
            <w:shd w:val="clear" w:color="auto" w:fill="CCEEFF"/>
          </w:tcPr>
          <w:p>
            <w:pPr>
              <w:jc w:val="right"/>
              <w:ind w:right="166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3,181</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3,393</w:t>
            </w:r>
          </w:p>
        </w:tc>
      </w:tr>
      <w:tr>
        <w:trPr>
          <w:trHeight w:val="216"/>
        </w:trPr>
        <w:tc>
          <w:tcPr>
            <w:tcW w:w="5400" w:type="dxa"/>
            <w:vAlign w:val="bottom"/>
          </w:tcPr>
          <w:p>
            <w:pPr>
              <w:ind w:left="20"/>
              <w:spacing w:after="0" w:line="216" w:lineRule="exact"/>
              <w:rPr>
                <w:sz w:val="20"/>
                <w:szCs w:val="20"/>
                <w:color w:val="auto"/>
              </w:rPr>
            </w:pPr>
            <w:r>
              <w:rPr>
                <w:rFonts w:ascii="Arial" w:cs="Arial" w:eastAsia="Arial" w:hAnsi="Arial"/>
                <w:sz w:val="16"/>
                <w:szCs w:val="16"/>
                <w:color w:val="auto"/>
              </w:rPr>
              <w:t>Cash collections received on DPP</w:t>
            </w:r>
            <w:r>
              <w:rPr>
                <w:rFonts w:ascii="Arial" w:cs="Arial" w:eastAsia="Arial" w:hAnsi="Arial"/>
                <w:sz w:val="21"/>
                <w:szCs w:val="21"/>
                <w:color w:val="auto"/>
                <w:vertAlign w:val="superscript"/>
              </w:rPr>
              <w:t>(b)</w:t>
            </w:r>
          </w:p>
        </w:tc>
        <w:tc>
          <w:tcPr>
            <w:tcW w:w="18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2,432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jc w:val="right"/>
              <w:ind w:right="4"/>
              <w:spacing w:after="0"/>
              <w:rPr>
                <w:sz w:val="20"/>
                <w:szCs w:val="20"/>
                <w:color w:val="auto"/>
              </w:rPr>
            </w:pPr>
            <w:r>
              <w:rPr>
                <w:rFonts w:ascii="Arial" w:cs="Arial" w:eastAsia="Arial" w:hAnsi="Arial"/>
                <w:sz w:val="16"/>
                <w:szCs w:val="16"/>
                <w:color w:val="auto"/>
              </w:rPr>
              <w:t>1,595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collections reinvested in the Facility</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5,613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4,988</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Customer accounts receivable sold into the Facility were $5,516 million and $5,253 million for the six months ended June 30, 2023 and 2022, respectively.</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Does not include $850 million cash payments to the Purchasers in the second quarter of 2023.</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risk of loss following the transfer of accounts receivable is limited to the DPP outstanding. Payment of DPP is not subject to significant risks other than delinquencies and credit losses on accounts receivable transferred. We continue to service the receivables sold in exchange for a servicing fee. We did not record a servicing asset or liability as the servicing fees were not material.</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recognize the cash proceeds received upon sale in Cash flows from operating activities in the Consolidated Statements of Cash Flows. The collection and reinvestment of DPP is recognized in Cash flows from investing activities in the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See Note 12 — Fair Value of Financial Assets and Liabilities and Note 15 — Variable Interest Entities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Sales of Customer Accounts Receivables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are required, under supplier tariffs, to sell customer receivables to utility companies. The following table presents the total receivables sold.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0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Six Months Ended June 30,</w:t>
            </w:r>
          </w:p>
        </w:tc>
        <w:tc>
          <w:tcPr>
            <w:tcW w:w="1840" w:type="dxa"/>
            <w:vAlign w:val="bottom"/>
            <w:tcBorders>
              <w:bottom w:val="single" w:sz="8" w:color="auto"/>
            </w:tcBorders>
          </w:tcPr>
          <w:p>
            <w:pPr>
              <w:spacing w:after="0"/>
              <w:rPr>
                <w:sz w:val="15"/>
                <w:szCs w:val="15"/>
                <w:color w:val="auto"/>
              </w:rPr>
            </w:pPr>
          </w:p>
        </w:tc>
      </w:tr>
      <w:tr>
        <w:trPr>
          <w:trHeight w:val="180"/>
        </w:trPr>
        <w:tc>
          <w:tcPr>
            <w:tcW w:w="54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2023</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208"/>
              <w:spacing w:after="0"/>
              <w:rPr>
                <w:sz w:val="20"/>
                <w:szCs w:val="20"/>
                <w:color w:val="auto"/>
              </w:rPr>
            </w:pPr>
            <w:r>
              <w:rPr>
                <w:rFonts w:ascii="Arial" w:cs="Arial" w:eastAsia="Arial" w:hAnsi="Arial"/>
                <w:sz w:val="13"/>
                <w:szCs w:val="13"/>
                <w:b w:val="1"/>
                <w:bCs w:val="1"/>
                <w:color w:val="auto"/>
              </w:rPr>
              <w:t>2022</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receivables sold</w:t>
            </w:r>
          </w:p>
        </w:tc>
        <w:tc>
          <w:tcPr>
            <w:tcW w:w="1840" w:type="dxa"/>
            <w:vAlign w:val="bottom"/>
            <w:shd w:val="clear" w:color="auto" w:fill="CCEEFF"/>
          </w:tcPr>
          <w:p>
            <w:pPr>
              <w:jc w:val="right"/>
              <w:ind w:right="166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249</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96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Nuclear Decommissioning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Asset Retirement Obligations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a legal obligation to decommission our nuclear power plants following the permanent cessation of operations. See Note 10 — Asset Retirement Obligations of our 2022 Form 10-K for additional information regarding AROs and the financial statement impact of changes in estimate.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Note 7 — Nuclear Decommissioning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rollforward of the nuclear decommissioning AROs reflected in the Consolidated Balance Sheets from December 31, 2022 to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June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r>
              <w:rPr>
                <w:rFonts w:ascii="Arial" w:cs="Arial" w:eastAsia="Arial" w:hAnsi="Arial"/>
                <w:sz w:val="21"/>
                <w:szCs w:val="21"/>
                <w:color w:val="auto"/>
                <w:vertAlign w:val="superscript"/>
              </w:rPr>
              <w:t>(a)</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r>
      <w:tr>
        <w:trPr>
          <w:trHeight w:val="233"/>
        </w:trPr>
        <w:tc>
          <w:tcPr>
            <w:tcW w:w="8740" w:type="dxa"/>
            <w:vAlign w:val="bottom"/>
          </w:tcPr>
          <w:p>
            <w:pPr>
              <w:ind w:left="20"/>
              <w:spacing w:after="0"/>
              <w:rPr>
                <w:sz w:val="20"/>
                <w:szCs w:val="20"/>
                <w:color w:val="auto"/>
              </w:rPr>
            </w:pPr>
            <w:r>
              <w:rPr>
                <w:rFonts w:ascii="Arial" w:cs="Arial" w:eastAsia="Arial" w:hAnsi="Arial"/>
                <w:sz w:val="16"/>
                <w:szCs w:val="16"/>
                <w:color w:val="auto"/>
              </w:rPr>
              <w:t>Accretion expense</w:t>
            </w:r>
          </w:p>
        </w:tc>
        <w:tc>
          <w:tcPr>
            <w:tcW w:w="10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66"/>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 incurred related to decommissioning plants</w:t>
            </w:r>
          </w:p>
        </w:tc>
        <w:tc>
          <w:tcPr>
            <w:tcW w:w="10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6"/>
        </w:trPr>
        <w:tc>
          <w:tcPr>
            <w:tcW w:w="8740" w:type="dxa"/>
            <w:vAlign w:val="bottom"/>
          </w:tcPr>
          <w:p>
            <w:pPr>
              <w:ind w:left="20"/>
              <w:spacing w:after="0" w:line="237" w:lineRule="exact"/>
              <w:rPr>
                <w:sz w:val="20"/>
                <w:szCs w:val="20"/>
                <w:color w:val="auto"/>
              </w:rPr>
            </w:pPr>
            <w:r>
              <w:rPr>
                <w:rFonts w:ascii="Arial" w:cs="Arial" w:eastAsia="Arial" w:hAnsi="Arial"/>
                <w:sz w:val="16"/>
                <w:szCs w:val="16"/>
                <w:color w:val="auto"/>
              </w:rPr>
              <w:t>Balance as of June 30, 2023</w:t>
            </w:r>
            <w:r>
              <w:rPr>
                <w:rFonts w:ascii="Arial" w:cs="Arial" w:eastAsia="Arial" w:hAnsi="Arial"/>
                <w:sz w:val="21"/>
                <w:szCs w:val="21"/>
                <w:color w:val="auto"/>
                <w:vertAlign w:val="superscript"/>
              </w:rPr>
              <w:t>(a)</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12,764</w:t>
            </w:r>
          </w:p>
        </w:tc>
      </w:tr>
      <w:tr>
        <w:trPr>
          <w:trHeight w:val="21"/>
        </w:trPr>
        <w:tc>
          <w:tcPr>
            <w:tcW w:w="8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340" w:hanging="332"/>
        <w:spacing w:after="0" w:line="27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$32 million and $40 million as the current portion of the ARO as of June 30, 2023 and December 31, 2022, respectively, which is included in Other current liabilities in the Consolidated Balance Sheets.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NDT Funds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had NDT funds totaling $14,828 million and $14,127 million as of June 30, 2023 and December 31, 2022, respectively. The NDT funds also include $7 million and $13 million for the current portion of the NDT funds as of June 30, 2023 and December 31, 2022, respectively, which are included in Other current assets in the Consolidated Balance Sheets. See Note 16 — Supplemental Financial Information for additional information on activities of the NDT funds.</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Implications of the Regulatory Agreement Units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See Note 1 — Basis of Presentation and Note 10 — Asset Retirement Obligations of our 2022 Form 10-K for additional information on the Regulatory Agreement Units.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noncurrent payables to ComEd and PECO which are recorded as Payables related to Regulatory Agreement Units as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June 30, 2023 and 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1820" w:type="dxa"/>
            <w:vAlign w:val="bottom"/>
          </w:tcPr>
          <w:p>
            <w:pPr>
              <w:jc w:val="right"/>
              <w:ind w:right="85"/>
              <w:spacing w:after="0"/>
              <w:rPr>
                <w:sz w:val="20"/>
                <w:szCs w:val="20"/>
                <w:color w:val="auto"/>
              </w:rPr>
            </w:pPr>
            <w:r>
              <w:rPr>
                <w:rFonts w:ascii="Arial" w:cs="Arial" w:eastAsia="Arial" w:hAnsi="Arial"/>
                <w:sz w:val="13"/>
                <w:szCs w:val="13"/>
                <w:b w:val="1"/>
                <w:bCs w:val="1"/>
                <w:color w:val="auto"/>
              </w:rPr>
              <w:t>June 30, 2023</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tcPr>
          <w:p>
            <w:pPr>
              <w:jc w:val="right"/>
              <w:ind w:right="604"/>
              <w:spacing w:after="0"/>
              <w:rPr>
                <w:sz w:val="20"/>
                <w:szCs w:val="20"/>
                <w:color w:val="auto"/>
              </w:rPr>
            </w:pPr>
            <w:r>
              <w:rPr>
                <w:rFonts w:ascii="Arial" w:cs="Arial" w:eastAsia="Arial" w:hAnsi="Arial"/>
                <w:sz w:val="13"/>
                <w:szCs w:val="13"/>
                <w:b w:val="1"/>
                <w:bCs w:val="1"/>
                <w:color w:val="auto"/>
              </w:rPr>
              <w:t>December 31, 2022</w:t>
            </w:r>
          </w:p>
        </w:tc>
      </w:tr>
      <w:tr>
        <w:trPr>
          <w:trHeight w:val="22"/>
        </w:trPr>
        <w:tc>
          <w:tcPr>
            <w:tcW w:w="61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237"/>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ComEd</w:t>
            </w:r>
          </w:p>
        </w:tc>
        <w:tc>
          <w:tcPr>
            <w:tcW w:w="1820" w:type="dxa"/>
            <w:vAlign w:val="bottom"/>
            <w:shd w:val="clear" w:color="auto" w:fill="CCEEFF"/>
          </w:tcPr>
          <w:p>
            <w:pPr>
              <w:jc w:val="right"/>
              <w:ind w:right="1645"/>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2,660</w:t>
            </w:r>
          </w:p>
        </w:tc>
      </w:tr>
      <w:tr>
        <w:trPr>
          <w:trHeight w:val="236"/>
        </w:trPr>
        <w:tc>
          <w:tcPr>
            <w:tcW w:w="6140" w:type="dxa"/>
            <w:vAlign w:val="bottom"/>
          </w:tcPr>
          <w:p>
            <w:pPr>
              <w:ind w:left="20"/>
              <w:spacing w:after="0"/>
              <w:rPr>
                <w:sz w:val="20"/>
                <w:szCs w:val="20"/>
                <w:color w:val="auto"/>
              </w:rPr>
            </w:pPr>
            <w:r>
              <w:rPr>
                <w:rFonts w:ascii="Arial" w:cs="Arial" w:eastAsia="Arial" w:hAnsi="Arial"/>
                <w:sz w:val="16"/>
                <w:szCs w:val="16"/>
                <w:color w:val="auto"/>
              </w:rPr>
              <w:t>PECO</w:t>
            </w:r>
          </w:p>
        </w:tc>
        <w:tc>
          <w:tcPr>
            <w:tcW w:w="18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237</w:t>
            </w:r>
          </w:p>
        </w:tc>
      </w:tr>
      <w:tr>
        <w:trPr>
          <w:trHeight w:val="282"/>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Payables related to Regulatory Agreement Units</w:t>
            </w:r>
          </w:p>
        </w:tc>
        <w:tc>
          <w:tcPr>
            <w:tcW w:w="1820" w:type="dxa"/>
            <w:vAlign w:val="bottom"/>
            <w:tcBorders>
              <w:bottom w:val="single" w:sz="8" w:color="CCEEFF"/>
            </w:tcBorders>
            <w:shd w:val="clear" w:color="auto" w:fill="CCEEFF"/>
          </w:tcPr>
          <w:p>
            <w:pPr>
              <w:jc w:val="right"/>
              <w:ind w:right="164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2,897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NRC Minimum Funding Requirements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NRC regulations require that licensees of nuclear generating facilities demonstrate reasonable assurance that funds will be available in specified minimum amounts for radiological decommissioning of the facility at the end of its life.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filed our biennial decommissioning funding status report with the NRC on March 23, 2023 for all units, including our shutdown units, except for Zion Station which is included in a separate report to the NRC submitted by ZionSolutions, LLC. The status report demonstrated adequate decommissioning funding assurance as of December 31, 2022 for all units except for Peach Bottom Unit 1. As a former PECO plant, financial assurance for decommissioning Peach Bottom Unit 1 is provided by the NDT fund, collections from PECO customers, and the ability to adjust those collections in accordance with the approved PAPUC tariff. See Note 10 — Asset Retirement Obligations of our 2022 Form 10-K for information regarding the amount collected from PECO customers for decommissioning costs.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Separation from Exelon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Satisfying a condition precedent, on December 16, 2021, the NYPSC authorized our separation from Exelon and accepted the terms of a Joint Proposal that became binding upon closing of the separation on February 1, 2022. As part of the Joint Proposal, among other items, we have projected completion of radiological decommissioning and site restoration activities necessary to achieve a partial site release from the NRC (release of the site for unrestricted use, except for any on-site dry cask storage) within 20 years from the end of licensed life for each of our Ginna and FitzPatrick units and from the end of licensed life for the last of the NMP operating units. While there is flexibility under the Joint Proposal, there was an increase to the AROs associated with our New York nuclear plants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Note 7 — Nuclear Decommissioning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Joint Proposal also required a contribution of $15 million to the NDT for NMP Unit 2 in January 2022 and requires various financial assurance mechanisms through the duration of decommissioning and site restoration, including a minimum NDT balance for each unit, adjusted for specific stages of decommissioning, and a parent guaranty for site restoration costs updated annually as site restoration progresses, which must be replaced with a third-party surety bond or equivalent financial instrument in the event we fall below investment grade.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See Note 1 — Basis of Presentation for additional information.</w:t>
      </w:r>
    </w:p>
    <w:p>
      <w:pPr>
        <w:spacing w:after="0" w:line="159" w:lineRule="exact"/>
        <w:rPr>
          <w:sz w:val="20"/>
          <w:szCs w:val="20"/>
          <w:color w:val="auto"/>
        </w:rPr>
      </w:pPr>
    </w:p>
    <w:p>
      <w:pPr>
        <w:ind w:right="9720" w:firstLine="8"/>
        <w:spacing w:after="0" w:line="471" w:lineRule="auto"/>
        <w:tabs>
          <w:tab w:leader="none" w:pos="1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 Rate Reconciliation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income tax rate from continuing operations varies from the U.S. federal statutory rate principally due to the following:</w:t>
      </w:r>
    </w:p>
    <w:p>
      <w:pPr>
        <w:spacing w:after="0" w:line="209" w:lineRule="exact"/>
        <w:rPr>
          <w:sz w:val="20"/>
          <w:szCs w:val="20"/>
          <w:color w:val="auto"/>
        </w:rPr>
      </w:pPr>
    </w:p>
    <w:p>
      <w:pPr>
        <w:ind w:left="832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30480</wp:posOffset>
            </wp:positionV>
            <wp:extent cx="2571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1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w w:val="90"/>
              </w:rPr>
              <w:t>2023</w:t>
            </w:r>
            <w:r>
              <w:rPr>
                <w:rFonts w:ascii="Arial" w:cs="Arial" w:eastAsia="Arial" w:hAnsi="Arial"/>
                <w:sz w:val="16"/>
                <w:szCs w:val="16"/>
                <w:b w:val="1"/>
                <w:bCs w:val="1"/>
                <w:color w:val="auto"/>
                <w:w w:val="90"/>
                <w:vertAlign w:val="superscript"/>
              </w:rPr>
              <w:t>(a)</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21"/>
              <w:spacing w:after="0"/>
              <w:rPr>
                <w:sz w:val="20"/>
                <w:szCs w:val="20"/>
                <w:color w:val="auto"/>
              </w:rPr>
            </w:pPr>
            <w:r>
              <w:rPr>
                <w:rFonts w:ascii="Arial" w:cs="Arial" w:eastAsia="Arial" w:hAnsi="Arial"/>
                <w:sz w:val="13"/>
                <w:szCs w:val="13"/>
                <w:b w:val="1"/>
                <w:bCs w:val="1"/>
                <w:color w:val="auto"/>
                <w:w w:val="89"/>
              </w:rPr>
              <w:t>2022</w:t>
            </w:r>
            <w:r>
              <w:rPr>
                <w:rFonts w:ascii="Arial" w:cs="Arial" w:eastAsia="Arial" w:hAnsi="Arial"/>
                <w:sz w:val="16"/>
                <w:szCs w:val="16"/>
                <w:b w:val="1"/>
                <w:bCs w:val="1"/>
                <w:color w:val="auto"/>
                <w:w w:val="89"/>
                <w:vertAlign w:val="superscript"/>
              </w:rPr>
              <w:t>(b)</w:t>
            </w:r>
          </w:p>
        </w:tc>
      </w:tr>
      <w:tr>
        <w:trPr>
          <w:trHeight w:val="237"/>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33"/>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Increase (decrease) due to:</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6"/>
        </w:trPr>
        <w:tc>
          <w:tcPr>
            <w:tcW w:w="8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State income taxes, net of federal income tax benefit</w:t>
            </w:r>
          </w:p>
        </w:tc>
        <w:tc>
          <w:tcPr>
            <w:tcW w:w="7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0.3</w:t>
            </w:r>
          </w:p>
        </w:tc>
      </w:tr>
      <w:tr>
        <w:trPr>
          <w:trHeight w:val="233"/>
        </w:trPr>
        <w:tc>
          <w:tcPr>
            <w:tcW w:w="8380" w:type="dxa"/>
            <w:vAlign w:val="bottom"/>
            <w:gridSpan w:val="2"/>
          </w:tcPr>
          <w:p>
            <w:pPr>
              <w:ind w:left="360"/>
              <w:spacing w:after="0"/>
              <w:rPr>
                <w:sz w:val="20"/>
                <w:szCs w:val="20"/>
                <w:color w:val="auto"/>
              </w:rPr>
            </w:pPr>
            <w:r>
              <w:rPr>
                <w:rFonts w:ascii="Arial" w:cs="Arial" w:eastAsia="Arial" w:hAnsi="Arial"/>
                <w:sz w:val="16"/>
                <w:szCs w:val="16"/>
                <w:color w:val="auto"/>
              </w:rPr>
              <w:t>Qualified NDT fund income and losses</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42.9</w:t>
            </w:r>
          </w:p>
        </w:tc>
      </w:tr>
      <w:tr>
        <w:trPr>
          <w:trHeight w:val="253"/>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investment tax credit, including deferred taxes on basis differences</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0.6</w:t>
            </w:r>
          </w:p>
        </w:tc>
      </w:tr>
      <w:tr>
        <w:trPr>
          <w:trHeight w:val="223"/>
        </w:trPr>
        <w:tc>
          <w:tcPr>
            <w:tcW w:w="8380" w:type="dxa"/>
            <w:vAlign w:val="bottom"/>
            <w:gridSpan w:val="2"/>
          </w:tcPr>
          <w:p>
            <w:pPr>
              <w:ind w:left="360"/>
              <w:spacing w:after="0"/>
              <w:rPr>
                <w:sz w:val="20"/>
                <w:szCs w:val="20"/>
                <w:color w:val="auto"/>
              </w:rPr>
            </w:pPr>
            <w:r>
              <w:rPr>
                <w:rFonts w:ascii="Arial" w:cs="Arial" w:eastAsia="Arial" w:hAnsi="Arial"/>
                <w:sz w:val="16"/>
                <w:szCs w:val="16"/>
                <w:color w:val="auto"/>
              </w:rPr>
              <w:t>Production tax credits and other credits</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2.4</w:t>
            </w:r>
          </w:p>
        </w:tc>
      </w:tr>
      <w:tr>
        <w:trPr>
          <w:trHeight w:val="33"/>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Noncontrolling interests</w:t>
            </w:r>
          </w:p>
        </w:tc>
        <w:tc>
          <w:tcPr>
            <w:tcW w:w="7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0.2</w:t>
            </w:r>
          </w:p>
        </w:tc>
      </w:tr>
      <w:tr>
        <w:trPr>
          <w:trHeight w:val="257"/>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(c)</w:t>
            </w:r>
          </w:p>
        </w:tc>
        <w:tc>
          <w:tcPr>
            <w:tcW w:w="1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7.5</w:t>
            </w:r>
          </w:p>
        </w:tc>
      </w:tr>
      <w:tr>
        <w:trPr>
          <w:trHeight w:val="256"/>
        </w:trPr>
        <w:tc>
          <w:tcPr>
            <w:tcW w:w="7180" w:type="dxa"/>
            <w:vAlign w:val="bottom"/>
            <w:tcBorders>
              <w:bottom w:val="single" w:sz="8" w:color="CCEEFF"/>
            </w:tcBorders>
            <w:shd w:val="clear" w:color="auto" w:fill="CCEEFF"/>
          </w:tcPr>
          <w:p>
            <w:pPr>
              <w:ind w:left="20"/>
              <w:spacing w:after="0" w:line="237" w:lineRule="exact"/>
              <w:rPr>
                <w:sz w:val="20"/>
                <w:szCs w:val="20"/>
                <w:color w:val="auto"/>
              </w:rPr>
            </w:pPr>
            <w:r>
              <w:rPr>
                <w:rFonts w:ascii="Arial" w:cs="Arial" w:eastAsia="Arial" w:hAnsi="Arial"/>
                <w:sz w:val="16"/>
                <w:szCs w:val="16"/>
                <w:color w:val="auto"/>
              </w:rPr>
              <w:t>Effective income tax rate</w:t>
            </w:r>
            <w:r>
              <w:rPr>
                <w:rFonts w:ascii="Arial" w:cs="Arial" w:eastAsia="Arial" w:hAnsi="Arial"/>
                <w:sz w:val="21"/>
                <w:szCs w:val="21"/>
                <w:color w:val="auto"/>
                <w:vertAlign w:val="superscript"/>
              </w:rPr>
              <w:t>(d)</w:t>
            </w:r>
          </w:p>
        </w:tc>
        <w:tc>
          <w:tcPr>
            <w:tcW w:w="1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74.9 %</w:t>
            </w:r>
          </w:p>
        </w:tc>
      </w:tr>
      <w:tr>
        <w:trPr>
          <w:trHeight w:val="20"/>
        </w:trPr>
        <w:tc>
          <w:tcPr>
            <w:tcW w:w="7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44"/>
        </w:trPr>
        <w:tc>
          <w:tcPr>
            <w:tcW w:w="7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Six Months Ended June 30,</w:t>
            </w:r>
          </w:p>
        </w:tc>
        <w:tc>
          <w:tcPr>
            <w:tcW w:w="1200" w:type="dxa"/>
            <w:vAlign w:val="bottom"/>
          </w:tcPr>
          <w:p>
            <w:pPr>
              <w:spacing w:after="0"/>
              <w:rPr>
                <w:sz w:val="24"/>
                <w:szCs w:val="24"/>
                <w:color w:val="auto"/>
              </w:rPr>
            </w:pPr>
          </w:p>
        </w:tc>
      </w:tr>
      <w:tr>
        <w:trPr>
          <w:trHeight w:val="22"/>
        </w:trPr>
        <w:tc>
          <w:tcPr>
            <w:tcW w:w="7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7180" w:type="dxa"/>
            <w:vAlign w:val="bottom"/>
          </w:tcPr>
          <w:p>
            <w:pPr>
              <w:spacing w:after="0"/>
              <w:rPr>
                <w:sz w:val="17"/>
                <w:szCs w:val="17"/>
                <w:color w:val="auto"/>
              </w:rPr>
            </w:pPr>
          </w:p>
        </w:tc>
        <w:tc>
          <w:tcPr>
            <w:tcW w:w="1200" w:type="dxa"/>
            <w:vAlign w:val="bottom"/>
            <w:tcBorders>
              <w:bottom w:val="single" w:sz="8" w:color="auto"/>
            </w:tcBorders>
          </w:tcPr>
          <w:p>
            <w:pPr>
              <w:ind w:left="800"/>
              <w:spacing w:after="0"/>
              <w:rPr>
                <w:sz w:val="20"/>
                <w:szCs w:val="20"/>
                <w:color w:val="auto"/>
              </w:rPr>
            </w:pPr>
            <w:r>
              <w:rPr>
                <w:rFonts w:ascii="Arial" w:cs="Arial" w:eastAsia="Arial" w:hAnsi="Arial"/>
                <w:sz w:val="13"/>
                <w:szCs w:val="13"/>
                <w:b w:val="1"/>
                <w:bCs w:val="1"/>
                <w:color w:val="auto"/>
                <w:w w:val="90"/>
              </w:rPr>
              <w:t>2023</w:t>
            </w:r>
            <w:r>
              <w:rPr>
                <w:rFonts w:ascii="Arial" w:cs="Arial" w:eastAsia="Arial" w:hAnsi="Arial"/>
                <w:sz w:val="16"/>
                <w:szCs w:val="16"/>
                <w:b w:val="1"/>
                <w:bCs w:val="1"/>
                <w:color w:val="auto"/>
                <w:w w:val="90"/>
                <w:vertAlign w:val="superscript"/>
              </w:rPr>
              <w:t>(a)</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21"/>
              <w:spacing w:after="0"/>
              <w:rPr>
                <w:sz w:val="20"/>
                <w:szCs w:val="20"/>
                <w:color w:val="auto"/>
              </w:rPr>
            </w:pPr>
            <w:r>
              <w:rPr>
                <w:rFonts w:ascii="Arial" w:cs="Arial" w:eastAsia="Arial" w:hAnsi="Arial"/>
                <w:sz w:val="13"/>
                <w:szCs w:val="13"/>
                <w:b w:val="1"/>
                <w:bCs w:val="1"/>
                <w:color w:val="auto"/>
                <w:w w:val="89"/>
              </w:rPr>
              <w:t>2022</w:t>
            </w:r>
            <w:r>
              <w:rPr>
                <w:rFonts w:ascii="Arial" w:cs="Arial" w:eastAsia="Arial" w:hAnsi="Arial"/>
                <w:sz w:val="16"/>
                <w:szCs w:val="16"/>
                <w:b w:val="1"/>
                <w:bCs w:val="1"/>
                <w:color w:val="auto"/>
                <w:w w:val="89"/>
                <w:vertAlign w:val="superscript"/>
              </w:rPr>
              <w:t>(b)</w:t>
            </w:r>
          </w:p>
        </w:tc>
      </w:tr>
      <w:tr>
        <w:trPr>
          <w:trHeight w:val="23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rate</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33"/>
        </w:trPr>
        <w:tc>
          <w:tcPr>
            <w:tcW w:w="8380" w:type="dxa"/>
            <w:vAlign w:val="bottom"/>
            <w:gridSpan w:val="2"/>
          </w:tcPr>
          <w:p>
            <w:pPr>
              <w:ind w:left="20"/>
              <w:spacing w:after="0"/>
              <w:rPr>
                <w:sz w:val="20"/>
                <w:szCs w:val="20"/>
                <w:color w:val="auto"/>
              </w:rPr>
            </w:pPr>
            <w:r>
              <w:rPr>
                <w:rFonts w:ascii="Arial" w:cs="Arial" w:eastAsia="Arial" w:hAnsi="Arial"/>
                <w:sz w:val="16"/>
                <w:szCs w:val="16"/>
                <w:color w:val="auto"/>
              </w:rPr>
              <w:t>Increase (decrease) due to:</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6"/>
        </w:trPr>
        <w:tc>
          <w:tcPr>
            <w:tcW w:w="83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State income taxes, net of federal income tax benefit</w:t>
            </w:r>
          </w:p>
        </w:tc>
        <w:tc>
          <w:tcPr>
            <w:tcW w:w="7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(8.6)</w:t>
            </w:r>
          </w:p>
        </w:tc>
      </w:tr>
      <w:tr>
        <w:trPr>
          <w:trHeight w:val="233"/>
        </w:trPr>
        <w:tc>
          <w:tcPr>
            <w:tcW w:w="8380" w:type="dxa"/>
            <w:vAlign w:val="bottom"/>
            <w:gridSpan w:val="2"/>
          </w:tcPr>
          <w:p>
            <w:pPr>
              <w:ind w:left="360"/>
              <w:spacing w:after="0"/>
              <w:rPr>
                <w:sz w:val="20"/>
                <w:szCs w:val="20"/>
                <w:color w:val="auto"/>
              </w:rPr>
            </w:pPr>
            <w:r>
              <w:rPr>
                <w:rFonts w:ascii="Arial" w:cs="Arial" w:eastAsia="Arial" w:hAnsi="Arial"/>
                <w:sz w:val="16"/>
                <w:szCs w:val="16"/>
                <w:color w:val="auto"/>
              </w:rPr>
              <w:t>Qualified NDT fund income and losses</w:t>
            </w:r>
          </w:p>
        </w:tc>
        <w:tc>
          <w:tcPr>
            <w:tcW w:w="760" w:type="dxa"/>
            <w:vAlign w:val="bottom"/>
          </w:tcPr>
          <w:p>
            <w:pPr>
              <w:jc w:val="right"/>
              <w:ind w:right="12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70.6</w:t>
            </w:r>
          </w:p>
        </w:tc>
      </w:tr>
      <w:tr>
        <w:trPr>
          <w:trHeight w:val="253"/>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investment tax credit, including deferred taxes on basis differences</w:t>
            </w: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w:t>
            </w:r>
          </w:p>
        </w:tc>
      </w:tr>
      <w:tr>
        <w:trPr>
          <w:trHeight w:val="223"/>
        </w:trPr>
        <w:tc>
          <w:tcPr>
            <w:tcW w:w="8380" w:type="dxa"/>
            <w:vAlign w:val="bottom"/>
            <w:gridSpan w:val="2"/>
          </w:tcPr>
          <w:p>
            <w:pPr>
              <w:ind w:left="360"/>
              <w:spacing w:after="0"/>
              <w:rPr>
                <w:sz w:val="20"/>
                <w:szCs w:val="20"/>
                <w:color w:val="auto"/>
              </w:rPr>
            </w:pPr>
            <w:r>
              <w:rPr>
                <w:rFonts w:ascii="Arial" w:cs="Arial" w:eastAsia="Arial" w:hAnsi="Arial"/>
                <w:sz w:val="16"/>
                <w:szCs w:val="16"/>
                <w:color w:val="auto"/>
              </w:rPr>
              <w:t>Production tax credits and other credits</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8.5</w:t>
            </w:r>
          </w:p>
        </w:tc>
      </w:tr>
      <w:tr>
        <w:trPr>
          <w:trHeight w:val="33"/>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Noncontrolling interests</w:t>
            </w:r>
          </w:p>
        </w:tc>
        <w:tc>
          <w:tcPr>
            <w:tcW w:w="1660" w:type="dxa"/>
            <w:vAlign w:val="bottom"/>
            <w:gridSpan w:val="3"/>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0.4</w:t>
            </w:r>
          </w:p>
        </w:tc>
      </w:tr>
      <w:tr>
        <w:trPr>
          <w:trHeight w:val="257"/>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(c)</w:t>
            </w:r>
          </w:p>
        </w:tc>
        <w:tc>
          <w:tcPr>
            <w:tcW w:w="1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7.0</w:t>
            </w:r>
          </w:p>
        </w:tc>
      </w:tr>
      <w:tr>
        <w:trPr>
          <w:trHeight w:val="257"/>
        </w:trPr>
        <w:tc>
          <w:tcPr>
            <w:tcW w:w="8380" w:type="dxa"/>
            <w:vAlign w:val="bottom"/>
            <w:gridSpan w:val="2"/>
            <w:shd w:val="clear" w:color="auto" w:fill="CCEEFF"/>
          </w:tcPr>
          <w:p>
            <w:pPr>
              <w:ind w:left="20"/>
              <w:spacing w:after="0" w:line="237" w:lineRule="exact"/>
              <w:rPr>
                <w:sz w:val="20"/>
                <w:szCs w:val="20"/>
                <w:color w:val="auto"/>
              </w:rPr>
            </w:pPr>
            <w:r>
              <w:rPr>
                <w:rFonts w:ascii="Arial" w:cs="Arial" w:eastAsia="Arial" w:hAnsi="Arial"/>
                <w:sz w:val="16"/>
                <w:szCs w:val="16"/>
                <w:color w:val="auto"/>
              </w:rPr>
              <w:t>Effective income tax rate</w:t>
            </w:r>
            <w:r>
              <w:rPr>
                <w:rFonts w:ascii="Arial" w:cs="Arial" w:eastAsia="Arial" w:hAnsi="Arial"/>
                <w:sz w:val="21"/>
                <w:szCs w:val="21"/>
                <w:color w:val="auto"/>
                <w:vertAlign w:val="superscript"/>
              </w:rPr>
              <w:t>(d)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33.5 %</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101.1 %</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Positive percentages represent income tax expense. Negative percentages represent income tax benefit.</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there was a pre-tax loss during 2022, negative percentages represent income tax expense. Positive percentages represent income tax benefit.</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2022, primarily related to a $50 million return to provision adjustment recorded in the second quarter.</w:t>
      </w:r>
    </w:p>
    <w:p>
      <w:pPr>
        <w:spacing w:after="0" w:line="14" w:lineRule="exact"/>
        <w:rPr>
          <w:rFonts w:ascii="Arial" w:cs="Arial" w:eastAsia="Arial" w:hAnsi="Arial"/>
          <w:sz w:val="14"/>
          <w:szCs w:val="14"/>
          <w:color w:val="auto"/>
        </w:rPr>
      </w:pPr>
    </w:p>
    <w:p>
      <w:pPr>
        <w:ind w:left="340" w:hanging="332"/>
        <w:spacing w:after="0" w:line="283"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Constellation does not expect the effective tax rate to deviate from the statutory tax rate with the exception of realized and unrealized gains and losses of the nuclear decommissioning trust funds. In 2022, the rate was also impacted by one-time adjustments.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Tax Matters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Matters Agreement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the separation, we entered into a TMA with Exelon. The TMA governs the respective rights, responsibilities, and obligations between us and Exelon after the separation with respect to tax liabilities and benefits, tax attributes, tax returns, tax contests and other tax sharing regarding U.S. federal, state, local and foreign income taxes, other tax matters and related tax returns.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9520"/>
        <w:spacing w:after="0"/>
        <w:rPr>
          <w:sz w:val="20"/>
          <w:szCs w:val="20"/>
          <w:color w:val="auto"/>
        </w:rPr>
      </w:pPr>
      <w:r>
        <w:rPr>
          <w:rFonts w:ascii="Arial" w:cs="Arial" w:eastAsia="Arial" w:hAnsi="Arial"/>
          <w:sz w:val="15"/>
          <w:szCs w:val="15"/>
          <w:color w:val="auto"/>
        </w:rPr>
        <w:t>Note 8 — Income Taxes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Responsibility and Indemnification for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former subsidiary of Exelon, we have joint and several liability with Exelon to the IRS and certain state</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jurisdictions relating to federal and state tax filings we were included in prior to the separation. The TMA specifies the portion of this tax liability for which we bear contractual responsibility. Specifically, we are liable for our share of certain taxes required to be paid by Exelon with respect to taxable years or periods (or portions thereof) ending on or prior to the separation to the extent that we would have been responsible for such taxes under the Exelon tax sharing agreement then existing. As of June 30, 2023 and December 31, 2022, our Consolidated Balance Sheets reflect a payable of $32 million for tax liabilities where we maintain contractual responsibility to Exelon, with $18 million in Other accounts receivable and $50 million in Noncurrent other liabilities.</w:t>
      </w:r>
    </w:p>
    <w:p>
      <w:pPr>
        <w:spacing w:after="0" w:line="14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Tax Refunds and Attributes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TMA provides for the allocation of certain pre-closing tax attributes between us and Exelon, along with our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refunds for taxes claimed by Exelon for periods prior to separation. Upon separation, certain attributes that were generated by our business were allocated to Exelon, and under the TMA, Exelon will reimburse Constellation when those attributes are utilized. As of June 30, 2023, our Consolidated Balance Sheet reflects receivables of $257 million and $273 million in Other accounts receivable and Other deferred debits and other assets, respectively. As of December 31, 2022, our Consolidated Balance Sheet reflected receivables of $168 million and $362 million in Other accounts receivable and Other deferred debits and other assets,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Retirement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and OPEB</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During the first quarter of 2023, we received an updated valuation of our pension and OPEB obligations to reflect actual census data as of January 1, 2023. This valuation resulted in increases to the pension and OPEB obligations totaling $48 million and $21 million, respectively, with an offset to accumulated other comprehensive loss of $53 million (after-tax). The key assumptions used in the updated valuation of our pension and OPEB obligations, such as discount rate and expected long-term rate of return on plan assets, were unchanged from those used as of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Net Periodic Benefit Costs (Credits)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report the service cost and other non-service cost (credit) components of net periodic benefit costs (credits) for all plans separately in our Consolidated Statements of Operations and Comprehensive Income. Effective February 1, 2022, the service cost component is included in Operating and maintenance expense and Property, plant, and equipment, net (where criteria for capitalization of direct labor has been met) while the non-service cost (credit) components are included in Other, net, in accordance with single employer plan accounting.</w:t>
      </w:r>
    </w:p>
    <w:p>
      <w:pPr>
        <w:spacing w:after="0" w:line="12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Prior to separation, we were allocated our portion of pension and OPEB service and non-service costs (credits) from Exelon, which was included in Operating and maintenance expense. Our portion of the total net periodic benefit costs allocated to us from Exelon in 2022 prior to separation was not material and remains in total Operating and maintenance expense.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9080"/>
        <w:spacing w:after="0"/>
        <w:rPr>
          <w:sz w:val="20"/>
          <w:szCs w:val="20"/>
          <w:color w:val="auto"/>
        </w:rPr>
      </w:pPr>
      <w:r>
        <w:rPr>
          <w:rFonts w:ascii="Arial" w:cs="Arial" w:eastAsia="Arial" w:hAnsi="Arial"/>
          <w:sz w:val="16"/>
          <w:szCs w:val="16"/>
          <w:color w:val="auto"/>
        </w:rPr>
        <w:t>Note 9 — Retirement Benefits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tables present the components of our net periodic benefit costs (credits), prior to capitalization and co-owner allocations, for the six months ended June 30,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center"/>
              <w:ind w:right="61"/>
              <w:spacing w:after="0"/>
              <w:rPr>
                <w:sz w:val="20"/>
                <w:szCs w:val="20"/>
                <w:color w:val="auto"/>
              </w:rPr>
            </w:pPr>
            <w:r>
              <w:rPr>
                <w:rFonts w:ascii="Arial" w:cs="Arial" w:eastAsia="Arial" w:hAnsi="Arial"/>
                <w:sz w:val="13"/>
                <w:szCs w:val="13"/>
                <w:b w:val="1"/>
                <w:bCs w:val="1"/>
                <w:color w:val="auto"/>
                <w:w w:val="96"/>
              </w:rPr>
              <w:t>Pension Benefits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3"/>
                <w:szCs w:val="13"/>
                <w:b w:val="1"/>
                <w:bCs w:val="1"/>
                <w:color w:val="auto"/>
                <w:w w:val="97"/>
              </w:rPr>
              <w:t>OPEB</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Total Pension Benefits and OPEB</w:t>
            </w: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61"/>
              <w:spacing w:after="0"/>
              <w:rPr>
                <w:sz w:val="20"/>
                <w:szCs w:val="20"/>
                <w:color w:val="auto"/>
              </w:rPr>
            </w:pPr>
            <w:r>
              <w:rPr>
                <w:rFonts w:ascii="Arial" w:cs="Arial" w:eastAsia="Arial" w:hAnsi="Arial"/>
                <w:sz w:val="13"/>
                <w:szCs w:val="13"/>
                <w:b w:val="1"/>
                <w:bCs w:val="1"/>
                <w:color w:val="auto"/>
                <w:w w:val="96"/>
              </w:rPr>
              <w:t>Three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61"/>
              <w:spacing w:after="0"/>
              <w:rPr>
                <w:sz w:val="20"/>
                <w:szCs w:val="20"/>
                <w:color w:val="auto"/>
              </w:rPr>
            </w:pPr>
            <w:r>
              <w:rPr>
                <w:rFonts w:ascii="Arial" w:cs="Arial" w:eastAsia="Arial" w:hAnsi="Arial"/>
                <w:sz w:val="13"/>
                <w:szCs w:val="13"/>
                <w:b w:val="1"/>
                <w:bCs w:val="1"/>
                <w:color w:val="auto"/>
                <w:w w:val="96"/>
              </w:rPr>
              <w:t>Three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61"/>
              <w:spacing w:after="0"/>
              <w:rPr>
                <w:sz w:val="20"/>
                <w:szCs w:val="20"/>
                <w:color w:val="auto"/>
              </w:rPr>
            </w:pPr>
            <w:r>
              <w:rPr>
                <w:rFonts w:ascii="Arial" w:cs="Arial" w:eastAsia="Arial" w:hAnsi="Arial"/>
                <w:sz w:val="13"/>
                <w:szCs w:val="13"/>
                <w:b w:val="1"/>
                <w:bCs w:val="1"/>
                <w:color w:val="auto"/>
                <w:w w:val="96"/>
              </w:rPr>
              <w:t>Three Months Ended June 30,</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net periodic benefit (credit) cost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23</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Non-service components of pension benefits &amp; OPEB cost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(credit)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Prior service cost (credit)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Actuarial loss (gain)</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Non-service components of pension benefits &amp; OPEB</w:t>
            </w: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cost</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(credit) cost</w:t>
            </w:r>
            <w:r>
              <w:rPr>
                <w:rFonts w:ascii="Arial" w:cs="Arial" w:eastAsia="Arial" w:hAnsi="Arial"/>
                <w:sz w:val="21"/>
                <w:szCs w:val="21"/>
                <w:b w:val="1"/>
                <w:bCs w:val="1"/>
                <w:color w:val="auto"/>
                <w:vertAlign w:val="superscript"/>
              </w:rPr>
              <w:t>(a,b)</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8"/>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61"/>
              <w:spacing w:after="0"/>
              <w:rPr>
                <w:sz w:val="20"/>
                <w:szCs w:val="20"/>
                <w:color w:val="auto"/>
              </w:rPr>
            </w:pPr>
            <w:r>
              <w:rPr>
                <w:rFonts w:ascii="Arial" w:cs="Arial" w:eastAsia="Arial" w:hAnsi="Arial"/>
                <w:sz w:val="13"/>
                <w:szCs w:val="13"/>
                <w:b w:val="1"/>
                <w:bCs w:val="1"/>
                <w:color w:val="auto"/>
                <w:w w:val="96"/>
              </w:rPr>
              <w:t>Pension Benefits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3"/>
                <w:szCs w:val="13"/>
                <w:b w:val="1"/>
                <w:bCs w:val="1"/>
                <w:color w:val="auto"/>
                <w:w w:val="97"/>
              </w:rPr>
              <w:t>OPEB</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Total Pension Benefits and OPEB</w:t>
            </w:r>
          </w:p>
        </w:tc>
        <w:tc>
          <w:tcPr>
            <w:tcW w:w="0" w:type="dxa"/>
            <w:vAlign w:val="bottom"/>
          </w:tcPr>
          <w:p>
            <w:pPr>
              <w:spacing w:after="0"/>
              <w:rPr>
                <w:sz w:val="1"/>
                <w:szCs w:val="1"/>
                <w:color w:val="auto"/>
              </w:rPr>
            </w:pPr>
          </w:p>
        </w:tc>
      </w:tr>
      <w:tr>
        <w:trPr>
          <w:trHeight w:val="178"/>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61"/>
              <w:spacing w:after="0"/>
              <w:rPr>
                <w:sz w:val="20"/>
                <w:szCs w:val="20"/>
                <w:color w:val="auto"/>
              </w:rPr>
            </w:pPr>
            <w:r>
              <w:rPr>
                <w:rFonts w:ascii="Arial" w:cs="Arial" w:eastAsia="Arial" w:hAnsi="Arial"/>
                <w:sz w:val="13"/>
                <w:szCs w:val="13"/>
                <w:b w:val="1"/>
                <w:bCs w:val="1"/>
                <w:color w:val="auto"/>
                <w:w w:val="96"/>
              </w:rPr>
              <w:t>Six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61"/>
              <w:spacing w:after="0"/>
              <w:rPr>
                <w:sz w:val="20"/>
                <w:szCs w:val="20"/>
                <w:color w:val="auto"/>
              </w:rPr>
            </w:pPr>
            <w:r>
              <w:rPr>
                <w:rFonts w:ascii="Arial" w:cs="Arial" w:eastAsia="Arial" w:hAnsi="Arial"/>
                <w:sz w:val="13"/>
                <w:szCs w:val="13"/>
                <w:b w:val="1"/>
                <w:bCs w:val="1"/>
                <w:color w:val="auto"/>
                <w:w w:val="96"/>
              </w:rPr>
              <w:t>Six Months Ended June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4"/>
          </w:tcPr>
          <w:p>
            <w:pPr>
              <w:jc w:val="center"/>
              <w:ind w:right="61"/>
              <w:spacing w:after="0"/>
              <w:rPr>
                <w:sz w:val="20"/>
                <w:szCs w:val="20"/>
                <w:color w:val="auto"/>
              </w:rPr>
            </w:pPr>
            <w:r>
              <w:rPr>
                <w:rFonts w:ascii="Arial" w:cs="Arial" w:eastAsia="Arial" w:hAnsi="Arial"/>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40"/>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Components of net periodic benefit cost (credit)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45</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1"/>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Non-service components of pension benefits &amp; OPEB cost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(credit)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4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assets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33"/>
        </w:trPr>
        <w:tc>
          <w:tcPr>
            <w:tcW w:w="470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Prior service cost (credit)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Actuarial loss (gain)</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Non-service components of pension benefits &amp; OPEB</w:t>
            </w: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(credit) cost</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cost</w:t>
            </w:r>
            <w:r>
              <w:rPr>
                <w:rFonts w:ascii="Arial" w:cs="Arial" w:eastAsia="Arial" w:hAnsi="Arial"/>
                <w:sz w:val="21"/>
                <w:szCs w:val="21"/>
                <w:b w:val="1"/>
                <w:bCs w:val="1"/>
                <w:color w:val="auto"/>
                <w:vertAlign w:val="superscript"/>
              </w:rPr>
              <w:t>(a,b)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11</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 w:lineRule="exact"/>
        <w:rPr>
          <w:sz w:val="20"/>
          <w:szCs w:val="20"/>
          <w:color w:val="auto"/>
        </w:rPr>
      </w:pPr>
    </w:p>
    <w:p>
      <w:pPr>
        <w:jc w:val="both"/>
        <w:ind w:left="340" w:hanging="332"/>
        <w:spacing w:after="0" w:line="260"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pension benefit and OPEB service costs reflected in the Consolidated Statements of Operations and Comprehensive Income for the three and six months ended June 30, 2023 totaled $23 million and $47 million, respectively. The pension benefit and OPEB non-service costs (credits) reflected in the Consolidated Statements of Operations and Comprehensive Income for the three and six months ended June 30, 2023 totaled ($14) million and ($27) million, respectively.</w:t>
      </w:r>
    </w:p>
    <w:p>
      <w:pPr>
        <w:jc w:val="both"/>
        <w:ind w:left="340" w:hanging="332"/>
        <w:spacing w:after="0" w:line="262"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pension benefit and OPEB service costs reflected in the Consolidated Statements of Operations and Comprehensive Income for the three and six months ended June 30, 2022 totaled $34 million and $64 million, respectively. The pension benefit and OPEB non-service (credits) costs reflected in the Consolidated Statements of Operations and Comprehensive Income for the three and six months ended June 30, 2022 totaled ($33) million and ($58) million,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Note 10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Derivative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use derivative instruments to manage commodity price risk, interest rate risk, and foreign exchange risk related to ongoing business operations.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Authoritative guidance requires that derivative instruments be recognized as either assets or liabilities at fair value, with changes in fair value of the derivative recognized in earnings immediately. Other accounting treatments are available through special election and designation, provided they meet specific, restrictive criteria both at the time of designation and on an ongoing basis. These alternative permissible accounting treatments include NPNS, cash flow hedges, and fair value hedges. All derivative economic hedges related to commodities, referred to as economic hedges, are recorded at fair value through earnings. For all NPNS derivative instruments, accounts receivable or accounts payable are recorded when derivatives settle and revenue or expense is recognized in earnings as the underlying physical commodity is sold or delivered.</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Authoritative guidance about offsetting assets and liabilities requires the fair value of derivative instruments to be shown in the Combined Notes to Consolidated Financial Statements on a gross basis, even when the derivative instruments are subject to legally enforceable master netting agreements and qualify for net presentation in the Consolidated Balance Sheets. A master netting agreement is an agreement between two counterparties that may have derivative and non-derivative contracts with each other providing for the net settlement of all referenced contracts via one payment stream, which takes place as the contracts deliver, when collateral is requested or in the event of default. In the tables below, which present fair value balances, our energy-related economic hedges and proprietary trading derivatives are shown gross. The impact of the netting of fair value balances with the same counterparty that are subject to legally enforceable master netting agreements, as well as netting of cash collateral, including margin on exchange positions, is aggregated in the collateral and netting columns.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Our use of cash collateral is generally unrestricted unless we are downgraded below investment grade.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employ established policies and procedures to manage our risks associated with market fluctuations in commodity prices by entering into physical and financial derivative contracts, including swaps, futures, forwards, options, and short-term and long-term commitments to purchase and sell energy and commodity products. We believe these instruments, which are either determined to be non-derivative or classified as economic hedges, mitigate exposure to fluctuations in commodity prices.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 the extent the amount of energy we produce or procure differs from the amount of energy we have contracted to sell, we are exposed to market fluctuations in the prices of electricity, natural gas and oil, and other commodities. We use a variety of derivative and non-derivative instruments to manage the commodity price risk of our electric generation facilities, including power and gas sales, fuel and power purchases, natural gas transportation and pipeline capacity agreements, and other energy-related products marketed and purchased. To manage these risks, we may enter into fixed-price derivative or non-derivative contracts to hedge the variability in future cash flows from expected sales of power and gas and purchases of power and fuel. The objectives for executing such hedges include fixing the price for a portion of anticipated future electricity sales at a level that provides an acceptable return. We are also exposed to differences between the locational settlement prices of certain economic hedges and the hedged generating units. This price difference is actively managed through other instruments which include derivative congestion products, whose changes in fair value are recognized in earnings each period, and auction revenue rights, which are accounted for on an accrual basis.</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we are exposed to certain market risks through our proprietary trading activities. The proprietary trading activities are a complement to our energy marketing portfolio but represent a small portion of our overall energy marketing activities and are subject to limits established by our RMC.</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Note 10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derivative fair value balances recorded as of June 30, 2023 and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6"/>
                <w:szCs w:val="16"/>
                <w:color w:val="auto"/>
              </w:rPr>
            </w:pPr>
          </w:p>
        </w:tc>
        <w:tc>
          <w:tcPr>
            <w:tcW w:w="900" w:type="dxa"/>
            <w:vAlign w:val="bottom"/>
          </w:tcPr>
          <w:p>
            <w:pPr>
              <w:jc w:val="right"/>
              <w:ind w:right="161"/>
              <w:spacing w:after="0"/>
              <w:rPr>
                <w:sz w:val="20"/>
                <w:szCs w:val="20"/>
                <w:color w:val="auto"/>
              </w:rPr>
            </w:pPr>
            <w:r>
              <w:rPr>
                <w:rFonts w:ascii="Arial" w:cs="Arial" w:eastAsia="Arial" w:hAnsi="Arial"/>
                <w:sz w:val="13"/>
                <w:szCs w:val="13"/>
                <w:b w:val="1"/>
                <w:bCs w:val="1"/>
                <w:color w:val="auto"/>
              </w:rPr>
              <w:t>Economic</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21"/>
              <w:spacing w:after="0"/>
              <w:rPr>
                <w:sz w:val="20"/>
                <w:szCs w:val="20"/>
                <w:color w:val="auto"/>
              </w:rPr>
            </w:pPr>
            <w:r>
              <w:rPr>
                <w:rFonts w:ascii="Arial" w:cs="Arial" w:eastAsia="Arial" w:hAnsi="Arial"/>
                <w:sz w:val="13"/>
                <w:szCs w:val="13"/>
                <w:b w:val="1"/>
                <w:bCs w:val="1"/>
                <w:color w:val="auto"/>
              </w:rPr>
              <w:t>Proprietary</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83"/>
              <w:spacing w:after="0"/>
              <w:rPr>
                <w:sz w:val="20"/>
                <w:szCs w:val="20"/>
                <w:color w:val="auto"/>
              </w:rPr>
            </w:pPr>
            <w:r>
              <w:rPr>
                <w:rFonts w:ascii="Arial" w:cs="Arial" w:eastAsia="Arial" w:hAnsi="Arial"/>
                <w:sz w:val="13"/>
                <w:szCs w:val="13"/>
                <w:b w:val="1"/>
                <w:bCs w:val="1"/>
                <w:color w:val="auto"/>
              </w:rPr>
              <w:t>Collateral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3"/>
                <w:szCs w:val="13"/>
                <w:b w:val="1"/>
                <w:bCs w:val="1"/>
                <w:color w:val="auto"/>
              </w:rPr>
              <w:t>Netting</w:t>
            </w:r>
            <w:r>
              <w:rPr>
                <w:rFonts w:ascii="Arial" w:cs="Arial" w:eastAsia="Arial" w:hAnsi="Arial"/>
                <w:sz w:val="16"/>
                <w:szCs w:val="16"/>
                <w:b w:val="1"/>
                <w:bCs w:val="1"/>
                <w:color w:val="auto"/>
                <w:vertAlign w:val="superscript"/>
              </w:rPr>
              <w:t>(a)</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52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Hedges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Trading</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8"/>
                <w:szCs w:val="8"/>
                <w:b w:val="1"/>
                <w:bCs w:val="1"/>
                <w:color w:val="auto"/>
              </w:rPr>
              <w:t>(a)(b)</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derivative assets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Mark-to-market derivative assets (noncurrent assets)</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mark-to-market derivative assets</w:t>
            </w: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33"/>
        </w:trPr>
        <w:tc>
          <w:tcPr>
            <w:tcW w:w="5280" w:type="dxa"/>
            <w:vAlign w:val="bottom"/>
          </w:tcPr>
          <w:p>
            <w:pPr>
              <w:ind w:left="20"/>
              <w:spacing w:after="0"/>
              <w:rPr>
                <w:sz w:val="20"/>
                <w:szCs w:val="20"/>
                <w:color w:val="auto"/>
              </w:rPr>
            </w:pPr>
            <w:r>
              <w:rPr>
                <w:rFonts w:ascii="Arial" w:cs="Arial" w:eastAsia="Arial" w:hAnsi="Arial"/>
                <w:sz w:val="16"/>
                <w:szCs w:val="16"/>
                <w:color w:val="auto"/>
              </w:rPr>
              <w:t>Mark-to-market derivative liabilities (current liabilities)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6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derivative liabilities (noncurrent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36"/>
        </w:trPr>
        <w:tc>
          <w:tcPr>
            <w:tcW w:w="5280" w:type="dxa"/>
            <w:vAlign w:val="bottom"/>
          </w:tcPr>
          <w:p>
            <w:pPr>
              <w:ind w:left="20"/>
              <w:spacing w:after="0"/>
              <w:rPr>
                <w:sz w:val="20"/>
                <w:szCs w:val="20"/>
                <w:color w:val="auto"/>
              </w:rPr>
            </w:pPr>
            <w:r>
              <w:rPr>
                <w:rFonts w:ascii="Arial" w:cs="Arial" w:eastAsia="Arial" w:hAnsi="Arial"/>
                <w:sz w:val="16"/>
                <w:szCs w:val="16"/>
                <w:color w:val="auto"/>
              </w:rPr>
              <w:t>Total mark-to-market derivative liabilities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27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mark-to-market derivative net assets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1,386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December 31, 2022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derivative assets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40"/>
        </w:trPr>
        <w:tc>
          <w:tcPr>
            <w:tcW w:w="5280" w:type="dxa"/>
            <w:vAlign w:val="bottom"/>
          </w:tcPr>
          <w:p>
            <w:pPr>
              <w:ind w:left="20"/>
              <w:spacing w:after="0"/>
              <w:rPr>
                <w:sz w:val="20"/>
                <w:szCs w:val="20"/>
                <w:color w:val="auto"/>
              </w:rPr>
            </w:pPr>
            <w:r>
              <w:rPr>
                <w:rFonts w:ascii="Arial" w:cs="Arial" w:eastAsia="Arial" w:hAnsi="Arial"/>
                <w:sz w:val="16"/>
                <w:szCs w:val="16"/>
                <w:color w:val="auto"/>
              </w:rPr>
              <w:t>Mark-to-market derivative assets (noncurrent assets)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c>
          <w:tcPr>
            <w:tcW w:w="0" w:type="dxa"/>
            <w:vAlign w:val="bottom"/>
          </w:tcPr>
          <w:p>
            <w:pPr>
              <w:spacing w:after="0"/>
              <w:rPr>
                <w:sz w:val="1"/>
                <w:szCs w:val="1"/>
                <w:color w:val="auto"/>
              </w:rPr>
            </w:pPr>
          </w:p>
        </w:tc>
      </w:tr>
      <w:tr>
        <w:trPr>
          <w:trHeight w:val="24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mark-to-market derivative assets</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20,396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w:t>
            </w:r>
          </w:p>
        </w:tc>
        <w:tc>
          <w:tcPr>
            <w:tcW w:w="0" w:type="dxa"/>
            <w:vAlign w:val="bottom"/>
          </w:tcPr>
          <w:p>
            <w:pPr>
              <w:spacing w:after="0"/>
              <w:rPr>
                <w:sz w:val="1"/>
                <w:szCs w:val="1"/>
                <w:color w:val="auto"/>
              </w:rPr>
            </w:pPr>
          </w:p>
        </w:tc>
      </w:tr>
      <w:tr>
        <w:trPr>
          <w:trHeight w:val="233"/>
        </w:trPr>
        <w:tc>
          <w:tcPr>
            <w:tcW w:w="5280" w:type="dxa"/>
            <w:vAlign w:val="bottom"/>
          </w:tcPr>
          <w:p>
            <w:pPr>
              <w:ind w:left="20"/>
              <w:spacing w:after="0"/>
              <w:rPr>
                <w:sz w:val="20"/>
                <w:szCs w:val="20"/>
                <w:color w:val="auto"/>
              </w:rPr>
            </w:pPr>
            <w:r>
              <w:rPr>
                <w:rFonts w:ascii="Arial" w:cs="Arial" w:eastAsia="Arial" w:hAnsi="Arial"/>
                <w:sz w:val="16"/>
                <w:szCs w:val="16"/>
                <w:color w:val="auto"/>
              </w:rPr>
              <w:t>Mark-to-market derivative liabilities (current liabilities)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6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derivative liabilities (noncurrent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36"/>
        </w:trPr>
        <w:tc>
          <w:tcPr>
            <w:tcW w:w="5280" w:type="dxa"/>
            <w:vAlign w:val="bottom"/>
          </w:tcPr>
          <w:p>
            <w:pPr>
              <w:ind w:left="20"/>
              <w:spacing w:after="0"/>
              <w:rPr>
                <w:sz w:val="20"/>
                <w:szCs w:val="20"/>
                <w:color w:val="auto"/>
              </w:rPr>
            </w:pPr>
            <w:r>
              <w:rPr>
                <w:rFonts w:ascii="Arial" w:cs="Arial" w:eastAsia="Arial" w:hAnsi="Arial"/>
                <w:sz w:val="16"/>
                <w:szCs w:val="16"/>
                <w:color w:val="auto"/>
              </w:rPr>
              <w:t>Total mark-to-market derivative liabilities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mark-to-market derivative net assets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2" w:lineRule="exact"/>
        <w:rPr>
          <w:sz w:val="20"/>
          <w:szCs w:val="20"/>
          <w:color w:val="auto"/>
        </w:rPr>
      </w:pPr>
    </w:p>
    <w:p>
      <w:pPr>
        <w:ind w:left="340" w:hanging="332"/>
        <w:spacing w:after="0" w:line="262"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net all available amounts allowed in our Consolidated Balance Sheets in accordance with authoritative guidance for derivatives. These amounts include unrealized derivative transactions with the same counterparty under legally enforceable master netting agreements and cash collateral.</w:t>
      </w: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$654 million of variation margin posted and $836 million of variation margin held from the exchanges as of June 30, 2023 and December 31, 2022,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Hedges (Commodity Price Risk)</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the three and six months ended June 30, 2023 and 2022, we recognized the following net pre-tax commodity mark-to-market gains (losses) which are also located in the Net fair value changes related to derivatives line in the Consolidated Statements of Cash Flows.</w:t>
      </w:r>
    </w:p>
    <w:p>
      <w:pPr>
        <w:spacing w:after="0" w:line="253" w:lineRule="exact"/>
        <w:rPr>
          <w:sz w:val="20"/>
          <w:szCs w:val="20"/>
          <w:color w:val="auto"/>
        </w:rPr>
      </w:pPr>
    </w:p>
    <w:tbl>
      <w:tblPr>
        <w:tblLayout w:type="fixed"/>
        <w:tblInd w:w="26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33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Three Months Ended June 30,</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7"/>
              </w:rPr>
              <w:t>Six Months Ended June 30,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300" w:type="dxa"/>
            <w:vAlign w:val="bottom"/>
          </w:tcPr>
          <w:p>
            <w:pPr>
              <w:jc w:val="right"/>
              <w:ind w:right="128"/>
              <w:spacing w:after="0"/>
              <w:rPr>
                <w:sz w:val="20"/>
                <w:szCs w:val="20"/>
                <w:color w:val="auto"/>
              </w:rPr>
            </w:pPr>
            <w:r>
              <w:rPr>
                <w:rFonts w:ascii="Arial" w:cs="Arial" w:eastAsia="Arial" w:hAnsi="Arial"/>
                <w:sz w:val="13"/>
                <w:szCs w:val="13"/>
                <w:b w:val="1"/>
                <w:bCs w:val="1"/>
                <w:color w:val="auto"/>
              </w:rPr>
              <w:t>2023</w:t>
            </w:r>
          </w:p>
        </w:tc>
        <w:tc>
          <w:tcPr>
            <w:tcW w:w="60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jc w:val="right"/>
              <w:ind w:right="744"/>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35"/>
        </w:trPr>
        <w:tc>
          <w:tcPr>
            <w:tcW w:w="2820" w:type="dxa"/>
            <w:vAlign w:val="bottom"/>
            <w:vMerge w:val="restart"/>
          </w:tcPr>
          <w:p>
            <w:pPr>
              <w:spacing w:after="0"/>
              <w:rPr>
                <w:sz w:val="20"/>
                <w:szCs w:val="20"/>
                <w:color w:val="auto"/>
              </w:rPr>
            </w:pPr>
            <w:r>
              <w:rPr>
                <w:rFonts w:ascii="Arial" w:cs="Arial" w:eastAsia="Arial" w:hAnsi="Arial"/>
                <w:sz w:val="13"/>
                <w:szCs w:val="13"/>
                <w:b w:val="1"/>
                <w:bCs w:val="1"/>
                <w:color w:val="auto"/>
              </w:rPr>
              <w:t>Income Statement Location</w:t>
            </w:r>
          </w:p>
        </w:tc>
        <w:tc>
          <w:tcPr>
            <w:tcW w:w="1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8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040" w:type="dxa"/>
            <w:vAlign w:val="bottom"/>
            <w:gridSpan w:val="3"/>
          </w:tcPr>
          <w:p>
            <w:pPr>
              <w:jc w:val="right"/>
              <w:ind w:right="920"/>
              <w:spacing w:after="0"/>
              <w:rPr>
                <w:sz w:val="20"/>
                <w:szCs w:val="20"/>
                <w:color w:val="auto"/>
              </w:rPr>
            </w:pPr>
            <w:r>
              <w:rPr>
                <w:rFonts w:ascii="Arial" w:cs="Arial" w:eastAsia="Arial" w:hAnsi="Arial"/>
                <w:sz w:val="13"/>
                <w:szCs w:val="13"/>
                <w:b w:val="1"/>
                <w:bCs w:val="1"/>
                <w:color w:val="auto"/>
              </w:rPr>
              <w:t>Gains (Losses)</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Gains (Losses)</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Operating revenues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440" w:type="dxa"/>
            <w:vAlign w:val="bottom"/>
            <w:gridSpan w:val="2"/>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14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Purchased power and fuel</w:t>
            </w:r>
          </w:p>
        </w:tc>
        <w:tc>
          <w:tcPr>
            <w:tcW w:w="1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33"/>
        </w:trPr>
        <w:tc>
          <w:tcPr>
            <w:tcW w:w="28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40" w:type="dxa"/>
            <w:vAlign w:val="bottom"/>
            <w:gridSpan w:val="2"/>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140" w:type="dxa"/>
            <w:vAlign w:val="bottom"/>
            <w:shd w:val="clear" w:color="auto" w:fill="CCEEFF"/>
          </w:tcPr>
          <w:p>
            <w:pPr>
              <w:jc w:val="right"/>
              <w:ind w:right="94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general, increases and decreases in forward market prices have a positive and negative impact, respectively, on owned and contracted generation positions that have not been hedged. For merchant revenues not already hedged via comprehensive state programs, such as the CMC in Illinois, historically we have used a three-year ratable sales plan to align our hedging strategy with our financial objectives. As a result, our prompt three-year merchant revenues have been hedged on an approximate rolling 90%/60%/30% basis. We may also enter into transactions that are outside of this ratable hedging program. As of June 30, 2023, the percentage of expected generation hedged for the Mid-Atlantic, Midwest, New York, and ERCOT reportable segments is 95%-98% and 77%-80% for 2023 and 2024,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Note 10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and Foreign Exchange Risk</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utilize interest rate swaps to manage our interest rate exposure and foreign currency derivatives to manage foreign exchange rate exposure associated with international commodity purchases in currencies other than U.S. dollars, both of which are treated as economic hedges. The notional amounts were $451 million and $524 million as of June 30, 2023 and December 31, 2022,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mark-to-market derivative assets and liabilities as of June 30, 2023 and December 31,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4"/>
          </w:tcPr>
          <w:p>
            <w:pPr>
              <w:ind w:left="80"/>
              <w:spacing w:after="0"/>
              <w:rPr>
                <w:sz w:val="20"/>
                <w:szCs w:val="20"/>
                <w:color w:val="auto"/>
              </w:rPr>
            </w:pPr>
            <w:r>
              <w:rPr>
                <w:rFonts w:ascii="Arial" w:cs="Arial" w:eastAsia="Arial" w:hAnsi="Arial"/>
                <w:sz w:val="13"/>
                <w:szCs w:val="13"/>
                <w:b w:val="1"/>
                <w:bCs w:val="1"/>
                <w:color w:val="auto"/>
              </w:rPr>
              <w:t>December 31, 2022</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5"/>
        </w:trPr>
        <w:tc>
          <w:tcPr>
            <w:tcW w:w="41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Economic</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Economic</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1"/>
        </w:trPr>
        <w:tc>
          <w:tcPr>
            <w:tcW w:w="4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Hedges</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Netting</w:t>
            </w:r>
            <w:r>
              <w:rPr>
                <w:rFonts w:ascii="Arial" w:cs="Arial" w:eastAsia="Arial" w:hAnsi="Arial"/>
                <w:sz w:val="16"/>
                <w:szCs w:val="16"/>
                <w:b w:val="1"/>
                <w:bCs w:val="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Hedges</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Netting</w:t>
            </w:r>
            <w:r>
              <w:rPr>
                <w:rFonts w:ascii="Arial" w:cs="Arial" w:eastAsia="Arial" w:hAnsi="Arial"/>
                <w:sz w:val="16"/>
                <w:szCs w:val="16"/>
                <w:b w:val="1"/>
                <w:bCs w:val="1"/>
                <w:color w:val="auto"/>
                <w:vertAlign w:val="superscript"/>
              </w:rPr>
              <w:t>(a)</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Total</w:t>
            </w:r>
          </w:p>
        </w:tc>
        <w:tc>
          <w:tcPr>
            <w:tcW w:w="520" w:type="dxa"/>
            <w:vAlign w:val="bottom"/>
            <w:tcBorders>
              <w:bottom w:val="single" w:sz="8" w:color="auto"/>
            </w:tcBorders>
          </w:tcPr>
          <w:p>
            <w:pPr>
              <w:spacing w:after="0"/>
              <w:rPr>
                <w:sz w:val="18"/>
                <w:szCs w:val="18"/>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derivative assets (current assets)</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140" w:type="dxa"/>
            <w:vAlign w:val="bottom"/>
          </w:tcPr>
          <w:p>
            <w:pPr>
              <w:ind w:left="20"/>
              <w:spacing w:after="0"/>
              <w:rPr>
                <w:sz w:val="20"/>
                <w:szCs w:val="20"/>
                <w:color w:val="auto"/>
              </w:rPr>
            </w:pPr>
            <w:r>
              <w:rPr>
                <w:rFonts w:ascii="Arial" w:cs="Arial" w:eastAsia="Arial" w:hAnsi="Arial"/>
                <w:sz w:val="16"/>
                <w:szCs w:val="16"/>
                <w:color w:val="auto"/>
              </w:rPr>
              <w:t>Mark-to-market derivative assets (noncurrent assets)</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3"/>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mark-to-market derivative assets</w:t>
            </w: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6"/>
        </w:trPr>
        <w:tc>
          <w:tcPr>
            <w:tcW w:w="4140" w:type="dxa"/>
            <w:vAlign w:val="bottom"/>
          </w:tcPr>
          <w:p>
            <w:pPr>
              <w:ind w:left="20"/>
              <w:spacing w:after="0"/>
              <w:rPr>
                <w:sz w:val="20"/>
                <w:szCs w:val="20"/>
                <w:color w:val="auto"/>
              </w:rPr>
            </w:pPr>
            <w:r>
              <w:rPr>
                <w:rFonts w:ascii="Arial" w:cs="Arial" w:eastAsia="Arial" w:hAnsi="Arial"/>
                <w:sz w:val="16"/>
                <w:szCs w:val="16"/>
                <w:color w:val="auto"/>
              </w:rPr>
              <w:t>Mark-to-market derivative liabilities (current liabilities)</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Mark-to-market derivative liabilities (noncurrent liabilities)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mark-to-market derivative liabilities</w:t>
            </w: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mark-to-market derivative net assets (liabilities)</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shd w:val="clear" w:color="auto" w:fill="CCEEFF"/>
          </w:tcPr>
          <w:p>
            <w:pPr>
              <w:jc w:val="right"/>
              <w:ind w:right="65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2" w:lineRule="exact"/>
        <w:rPr>
          <w:sz w:val="20"/>
          <w:szCs w:val="20"/>
          <w:color w:val="auto"/>
        </w:rPr>
      </w:pPr>
    </w:p>
    <w:p>
      <w:pPr>
        <w:ind w:left="340" w:hanging="332"/>
        <w:spacing w:after="0" w:line="285"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net all available amounts in our Consolidated Balance Sheets in accordance with authoritative guidance for derivatives. These amounts include unrealized derivative transactions with the same counterparty under legally enforceable master netting agreements.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mark-to-market gains and losses associated with management of interest rate and foreign currency exchange rate risk for the three and six months ended June 30, 2023 and 2022 were not material.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would be exposed to credit-related losses in the event of non-performance by counterparties on executed derivative instruments. The credit exposure of derivative contracts, before collateral, is represented by the fair value of contracts as of the reporting date.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commodity derivatives, we enter into enabling agreements that allow for payment netting with our counterparties, which reduces our exposure to counterparty risk by providing for the offset of amounts payable to the counterparty against amounts receivable from the counterparty. Typically, each enabling agreement is for a specific commodity and, with respect to each individual counterparty, netting is limited to transactions involving that specific commodity product, except where master netting agreements exist with a counterparty that allows for cross product netting. In addition to payment netting language in the enabling agreement, our credit department establishes credit limits, margining thresholds and collateral requirements for each counterparty, which are defined in the derivative contracts. Counterparty credit limits are based on an internal credit review process that considers a variety of factors, including the results of a scoring model, leverage, liquidity, profitability, credit ratings by credit rating agencies, and risk management capabilities. To the extent that a counterparty’s margining thresholds are exceeded, the counterparty is required to post collateral with us as specified in each enabling agreement. Our credit department monitors current and forward credit exposure to counterparties and their affiliates, both on an individual and an aggregate basis.</w:t>
      </w:r>
    </w:p>
    <w:p>
      <w:pPr>
        <w:spacing w:after="0" w:line="33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following tables provide information on the credit exposure for all derivative instruments, NPNS and payables and receivables, net of collateral and instruments that are subject to master netting agreements, as of June 30, 2023. The tables further delineate that exposure by credit rating of the counterparties and provide guidance on the concentration of credit risk to individual counterparties. The amounts in the tables below exclude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Note 10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credit risk exposure from individual retail counterparties, nuclear fuel procurement contracts, and exposure through RTOs, ISOs, NYMEX, ICE, NASDAQ, NGX, and Nodal commodity exchanges.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4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center"/>
              <w:ind w:right="164"/>
              <w:spacing w:after="0"/>
              <w:rPr>
                <w:sz w:val="20"/>
                <w:szCs w:val="20"/>
                <w:color w:val="auto"/>
              </w:rPr>
            </w:pPr>
            <w:r>
              <w:rPr>
                <w:rFonts w:ascii="Arial" w:cs="Arial" w:eastAsia="Arial" w:hAnsi="Arial"/>
                <w:sz w:val="13"/>
                <w:szCs w:val="13"/>
                <w:b w:val="1"/>
                <w:bCs w:val="1"/>
                <w:color w:val="auto"/>
                <w:w w:val="96"/>
              </w:rPr>
              <w:t>Net Exposure of</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67"/>
              <w:spacing w:after="0"/>
              <w:rPr>
                <w:sz w:val="20"/>
                <w:szCs w:val="20"/>
                <w:color w:val="auto"/>
              </w:rPr>
            </w:pPr>
            <w:r>
              <w:rPr>
                <w:rFonts w:ascii="Arial" w:cs="Arial" w:eastAsia="Arial" w:hAnsi="Arial"/>
                <w:sz w:val="13"/>
                <w:szCs w:val="13"/>
                <w:b w:val="1"/>
                <w:bCs w:val="1"/>
                <w:color w:val="auto"/>
                <w:w w:val="97"/>
              </w:rPr>
              <w:t>Exposure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Counterparties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184"/>
              <w:spacing w:after="0"/>
              <w:rPr>
                <w:sz w:val="20"/>
                <w:szCs w:val="20"/>
                <w:color w:val="auto"/>
              </w:rPr>
            </w:pPr>
            <w:r>
              <w:rPr>
                <w:rFonts w:ascii="Arial" w:cs="Arial" w:eastAsia="Arial" w:hAnsi="Arial"/>
                <w:sz w:val="13"/>
                <w:szCs w:val="13"/>
                <w:b w:val="1"/>
                <w:bCs w:val="1"/>
                <w:color w:val="auto"/>
                <w:w w:val="97"/>
              </w:rPr>
              <w:t>Counterparties</w:t>
            </w:r>
          </w:p>
        </w:tc>
        <w:tc>
          <w:tcPr>
            <w:tcW w:w="0" w:type="dxa"/>
            <w:vAlign w:val="bottom"/>
          </w:tcPr>
          <w:p>
            <w:pPr>
              <w:spacing w:after="0"/>
              <w:rPr>
                <w:sz w:val="1"/>
                <w:szCs w:val="1"/>
                <w:color w:val="auto"/>
              </w:rPr>
            </w:pPr>
          </w:p>
        </w:tc>
      </w:tr>
      <w:tr>
        <w:trPr>
          <w:trHeight w:val="170"/>
        </w:trPr>
        <w:tc>
          <w:tcPr>
            <w:tcW w:w="3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Rating as of June 30, 2023</w:t>
            </w:r>
          </w:p>
        </w:tc>
        <w:tc>
          <w:tcPr>
            <w:tcW w:w="220" w:type="dxa"/>
            <w:vAlign w:val="bottom"/>
          </w:tcPr>
          <w:p>
            <w:pPr>
              <w:spacing w:after="0"/>
              <w:rPr>
                <w:sz w:val="14"/>
                <w:szCs w:val="14"/>
                <w:color w:val="auto"/>
              </w:rPr>
            </w:pPr>
          </w:p>
        </w:tc>
        <w:tc>
          <w:tcPr>
            <w:tcW w:w="1220" w:type="dxa"/>
            <w:vAlign w:val="bottom"/>
          </w:tcPr>
          <w:p>
            <w:pPr>
              <w:jc w:val="center"/>
              <w:ind w:right="147"/>
              <w:spacing w:after="0"/>
              <w:rPr>
                <w:sz w:val="20"/>
                <w:szCs w:val="20"/>
                <w:color w:val="auto"/>
              </w:rPr>
            </w:pPr>
            <w:r>
              <w:rPr>
                <w:rFonts w:ascii="Arial" w:cs="Arial" w:eastAsia="Arial" w:hAnsi="Arial"/>
                <w:sz w:val="13"/>
                <w:szCs w:val="13"/>
                <w:b w:val="1"/>
                <w:bCs w:val="1"/>
                <w:color w:val="auto"/>
                <w:w w:val="97"/>
              </w:rPr>
              <w:t>Before Credit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4"/>
              <w:spacing w:after="0"/>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84"/>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Greater than 10%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right="164"/>
              <w:spacing w:after="0"/>
              <w:rPr>
                <w:sz w:val="20"/>
                <w:szCs w:val="20"/>
                <w:color w:val="auto"/>
              </w:rPr>
            </w:pPr>
            <w:r>
              <w:rPr>
                <w:rFonts w:ascii="Arial" w:cs="Arial" w:eastAsia="Arial" w:hAnsi="Arial"/>
                <w:sz w:val="13"/>
                <w:szCs w:val="13"/>
                <w:b w:val="1"/>
                <w:bCs w:val="1"/>
                <w:color w:val="auto"/>
                <w:w w:val="97"/>
              </w:rPr>
              <w:t>Greater than 10%</w:t>
            </w: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7"/>
              </w:rPr>
              <w:t>Collateral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Collateral</w:t>
            </w:r>
            <w:r>
              <w:rPr>
                <w:rFonts w:ascii="Arial" w:cs="Arial" w:eastAsia="Arial" w:hAnsi="Arial"/>
                <w:sz w:val="16"/>
                <w:szCs w:val="16"/>
                <w:b w:val="1"/>
                <w:bCs w:val="1"/>
                <w:color w:val="auto"/>
                <w:vertAlign w:val="superscript"/>
              </w:rPr>
              <w:t>(a)</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Exposure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of Net Exposure</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96"/>
              </w:rPr>
              <w:t>of Net Exposure</w:t>
            </w: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grade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958</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Arial" w:cs="Arial" w:eastAsia="Arial" w:hAnsi="Arial"/>
                <w:sz w:val="16"/>
                <w:szCs w:val="16"/>
                <w:color w:val="auto"/>
              </w:rPr>
              <w:t>Non-investment grade</w:t>
            </w:r>
          </w:p>
        </w:tc>
        <w:tc>
          <w:tcPr>
            <w:tcW w:w="220" w:type="dxa"/>
            <w:vAlign w:val="bottom"/>
          </w:tcPr>
          <w:p>
            <w:pPr>
              <w:spacing w:after="0"/>
              <w:rPr>
                <w:sz w:val="20"/>
                <w:szCs w:val="20"/>
                <w:color w:val="auto"/>
              </w:rPr>
            </w:pPr>
          </w:p>
        </w:tc>
        <w:tc>
          <w:tcPr>
            <w:tcW w:w="1220" w:type="dxa"/>
            <w:vAlign w:val="bottom"/>
          </w:tcPr>
          <w:p>
            <w:pPr>
              <w:jc w:val="right"/>
              <w:ind w:right="7"/>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 external ratings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20"/>
              <w:spacing w:after="0"/>
              <w:rPr>
                <w:sz w:val="20"/>
                <w:szCs w:val="20"/>
                <w:color w:val="auto"/>
              </w:rPr>
            </w:pPr>
            <w:r>
              <w:rPr>
                <w:rFonts w:ascii="Arial" w:cs="Arial" w:eastAsia="Arial" w:hAnsi="Arial"/>
                <w:sz w:val="16"/>
                <w:szCs w:val="16"/>
                <w:color w:val="auto"/>
              </w:rPr>
              <w:t>Internally rated — investment grade</w:t>
            </w:r>
          </w:p>
        </w:tc>
        <w:tc>
          <w:tcPr>
            <w:tcW w:w="220" w:type="dxa"/>
            <w:vAlign w:val="bottom"/>
          </w:tcPr>
          <w:p>
            <w:pPr>
              <w:spacing w:after="0"/>
              <w:rPr>
                <w:sz w:val="20"/>
                <w:szCs w:val="20"/>
                <w:color w:val="auto"/>
              </w:rPr>
            </w:pPr>
          </w:p>
        </w:tc>
        <w:tc>
          <w:tcPr>
            <w:tcW w:w="1220" w:type="dxa"/>
            <w:vAlign w:val="bottom"/>
          </w:tcPr>
          <w:p>
            <w:pPr>
              <w:jc w:val="right"/>
              <w:ind w:right="7"/>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Internally rated — non-investment grade</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1"/>
                <w:szCs w:val="21"/>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3300" w:type="dxa"/>
            <w:vAlign w:val="bottom"/>
          </w:tcPr>
          <w:p>
            <w:pPr>
              <w:ind w:left="20"/>
              <w:spacing w:after="0"/>
              <w:rPr>
                <w:sz w:val="20"/>
                <w:szCs w:val="20"/>
                <w:color w:val="auto"/>
              </w:rPr>
            </w:pPr>
            <w:r>
              <w:rPr>
                <w:rFonts w:ascii="Arial" w:cs="Arial" w:eastAsia="Arial" w:hAnsi="Arial"/>
                <w:sz w:val="13"/>
                <w:szCs w:val="13"/>
                <w:b w:val="1"/>
                <w:bCs w:val="1"/>
                <w:color w:val="auto"/>
              </w:rPr>
              <w:t>Net Credit Exposure by Type of Counterparty</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40" w:type="dxa"/>
            <w:vAlign w:val="bottom"/>
            <w:gridSpan w:val="3"/>
          </w:tcPr>
          <w:p>
            <w:pPr>
              <w:jc w:val="right"/>
              <w:ind w:right="584"/>
              <w:spacing w:after="0"/>
              <w:rPr>
                <w:sz w:val="20"/>
                <w:szCs w:val="20"/>
                <w:color w:val="auto"/>
              </w:rPr>
            </w:pPr>
            <w:r>
              <w:rPr>
                <w:rFonts w:ascii="Arial" w:cs="Arial" w:eastAsia="Arial" w:hAnsi="Arial"/>
                <w:sz w:val="13"/>
                <w:szCs w:val="13"/>
                <w:b w:val="1"/>
                <w:bCs w:val="1"/>
                <w:color w:val="auto"/>
              </w:rPr>
              <w:t>As of June 30, 2023</w:t>
            </w:r>
          </w:p>
        </w:tc>
        <w:tc>
          <w:tcPr>
            <w:tcW w:w="0" w:type="dxa"/>
            <w:vAlign w:val="bottom"/>
          </w:tcPr>
          <w:p>
            <w:pPr>
              <w:spacing w:after="0"/>
              <w:rPr>
                <w:sz w:val="1"/>
                <w:szCs w:val="1"/>
                <w:color w:val="auto"/>
              </w:rPr>
            </w:pPr>
          </w:p>
        </w:tc>
      </w:tr>
      <w:tr>
        <w:trPr>
          <w:trHeight w:val="22"/>
        </w:trPr>
        <w:tc>
          <w:tcPr>
            <w:tcW w:w="4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Investor-owned utilities, marketers, power producers</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Arial" w:cs="Arial" w:eastAsia="Arial" w:hAnsi="Arial"/>
                <w:sz w:val="16"/>
                <w:szCs w:val="16"/>
                <w:color w:val="auto"/>
              </w:rPr>
              <w:t>Energy cooperatives and municipalities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4"/>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Institutions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90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line="265"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of June 30, 2023, credit collateral held from counterparties where we had credit exposure included $47 million of cash and $51 million of letters of credit. The credit collateral does not include non-liquid collateral.</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Credit-Risk-Related Contingent Features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part of the normal course of business, we routinely enter into physically or financially settled contracts for the purchase and sale of electric capacity, electricity, fuels, emissions allowances, and other energy-related products. Certain of our derivative instruments contain provisions that require us to post collateral. We also enter into commodity transactions on exchanges where the exchanges act as the counterparty to each trade. Transactions on the exchanges must adhere to comprehensive collateral and margining requirements. This collateral may be posted in the form of cash or credit support with thresholds contingent upon our credit rating from each of the major credit rating agencies. The collateral and credit support requirements vary by contract and by counterparty. These credit-risk-related contingent features stipulate that if we were to be downgraded or lose our investment grade credit rating (based on our senior unsecured debt rating), we would be required to provide additional collateral. This incremental collateral requirement allows for the offsetting of derivative instruments that are assets with the same counterparty, where the contractual right of offset exists under applicable master netting agreements. In the absence of expressly agreed-to provisions that specify the collateral that must be provided, collateral requested will be a function of the facts and circumstances of the situation at the time of the demand. In this case, we believe an amount of several months of future payments (i.e., capacity payments) rather than a calculation of fair value is the best estimate for the contingent collateral obligation, which has been factored into the disclosure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Note 10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aggregate fair value of all derivative instruments with credit-risk-related contingent features in a liability position that are not fully collateralized (excluding transactions on the exchanges that are fully collateralized) is detailed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ind w:left="20"/>
              <w:spacing w:after="0"/>
              <w:rPr>
                <w:sz w:val="20"/>
                <w:szCs w:val="20"/>
                <w:color w:val="auto"/>
              </w:rPr>
            </w:pPr>
            <w:r>
              <w:rPr>
                <w:rFonts w:ascii="Arial" w:cs="Arial" w:eastAsia="Arial" w:hAnsi="Arial"/>
                <w:sz w:val="13"/>
                <w:szCs w:val="13"/>
                <w:b w:val="1"/>
                <w:bCs w:val="1"/>
                <w:color w:val="auto"/>
              </w:rPr>
              <w:t>Credit-Risk-Related Contingent Features</w:t>
            </w:r>
          </w:p>
        </w:tc>
        <w:tc>
          <w:tcPr>
            <w:tcW w:w="280" w:type="dxa"/>
            <w:vAlign w:val="bottom"/>
          </w:tcPr>
          <w:p>
            <w:pPr>
              <w:spacing w:after="0"/>
              <w:rPr>
                <w:sz w:val="15"/>
                <w:szCs w:val="15"/>
                <w:color w:val="auto"/>
              </w:rPr>
            </w:pPr>
          </w:p>
        </w:tc>
        <w:tc>
          <w:tcPr>
            <w:tcW w:w="1500" w:type="dxa"/>
            <w:vAlign w:val="bottom"/>
          </w:tcPr>
          <w:p>
            <w:pPr>
              <w:jc w:val="right"/>
              <w:ind w:right="424"/>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ind w:left="100"/>
              <w:spacing w:after="0"/>
              <w:rPr>
                <w:sz w:val="20"/>
                <w:szCs w:val="20"/>
                <w:color w:val="auto"/>
              </w:rPr>
            </w:pPr>
            <w:r>
              <w:rPr>
                <w:rFonts w:ascii="Arial" w:cs="Arial" w:eastAsia="Arial" w:hAnsi="Arial"/>
                <w:sz w:val="13"/>
                <w:szCs w:val="13"/>
                <w:b w:val="1"/>
                <w:bCs w:val="1"/>
                <w:color w:val="auto"/>
              </w:rPr>
              <w:t>December 31, 2022</w:t>
            </w: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6"/>
        </w:trPr>
        <w:tc>
          <w:tcPr>
            <w:tcW w:w="756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Gross fair value of derivative contracts containing this feature</w:t>
            </w:r>
            <w:r>
              <w:rPr>
                <w:rFonts w:ascii="Arial" w:cs="Arial" w:eastAsia="Arial" w:hAnsi="Arial"/>
                <w:sz w:val="21"/>
                <w:szCs w:val="21"/>
                <w:color w:val="auto"/>
                <w:vertAlign w:val="superscript"/>
              </w:rPr>
              <w:t>(a)</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center"/>
              <w:ind w:left="924"/>
              <w:spacing w:after="0"/>
              <w:rPr>
                <w:sz w:val="20"/>
                <w:szCs w:val="20"/>
                <w:color w:val="auto"/>
              </w:rPr>
            </w:pPr>
            <w:r>
              <w:rPr>
                <w:rFonts w:ascii="Arial" w:cs="Arial" w:eastAsia="Arial" w:hAnsi="Arial"/>
                <w:sz w:val="16"/>
                <w:szCs w:val="16"/>
                <w:color w:val="auto"/>
              </w:rPr>
              <w:t>(4,736)</w:t>
            </w:r>
          </w:p>
        </w:tc>
      </w:tr>
      <w:tr>
        <w:trPr>
          <w:trHeight w:val="257"/>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Offsetting fair value of in-the-money contracts under master netting arrangements</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left="924"/>
              <w:spacing w:after="0"/>
              <w:rPr>
                <w:sz w:val="20"/>
                <w:szCs w:val="20"/>
                <w:color w:val="auto"/>
              </w:rPr>
            </w:pPr>
            <w:r>
              <w:rPr>
                <w:rFonts w:ascii="Arial" w:cs="Arial" w:eastAsia="Arial" w:hAnsi="Arial"/>
                <w:sz w:val="16"/>
                <w:szCs w:val="16"/>
                <w:color w:val="auto"/>
                <w:w w:val="99"/>
              </w:rPr>
              <w:t>2,048</w:t>
            </w:r>
          </w:p>
        </w:tc>
      </w:tr>
      <w:tr>
        <w:trPr>
          <w:trHeight w:val="257"/>
        </w:trPr>
        <w:tc>
          <w:tcPr>
            <w:tcW w:w="7560" w:type="dxa"/>
            <w:vAlign w:val="bottom"/>
            <w:shd w:val="clear" w:color="auto" w:fill="CCEEFF"/>
          </w:tcPr>
          <w:p>
            <w:pPr>
              <w:ind w:left="140"/>
              <w:spacing w:after="0" w:line="237" w:lineRule="exact"/>
              <w:rPr>
                <w:sz w:val="20"/>
                <w:szCs w:val="20"/>
                <w:color w:val="auto"/>
              </w:rPr>
            </w:pPr>
            <w:r>
              <w:rPr>
                <w:rFonts w:ascii="Arial" w:cs="Arial" w:eastAsia="Arial" w:hAnsi="Arial"/>
                <w:sz w:val="16"/>
                <w:szCs w:val="16"/>
                <w:color w:val="auto"/>
              </w:rPr>
              <w:t>Net fair value of derivative contracts containing this feature</w:t>
            </w:r>
            <w:r>
              <w:rPr>
                <w:rFonts w:ascii="Arial" w:cs="Arial" w:eastAsia="Arial" w:hAnsi="Arial"/>
                <w:sz w:val="21"/>
                <w:szCs w:val="21"/>
                <w:color w:val="auto"/>
                <w:vertAlign w:val="superscript"/>
              </w:rPr>
              <w:t>(c)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center"/>
              <w:ind w:left="924"/>
              <w:spacing w:after="0"/>
              <w:rPr>
                <w:sz w:val="20"/>
                <w:szCs w:val="20"/>
                <w:color w:val="auto"/>
              </w:rPr>
            </w:pPr>
            <w:r>
              <w:rPr>
                <w:rFonts w:ascii="Arial" w:cs="Arial" w:eastAsia="Arial" w:hAnsi="Arial"/>
                <w:sz w:val="16"/>
                <w:szCs w:val="16"/>
                <w:color w:val="auto"/>
              </w:rPr>
              <w:t>(2,688)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line="255"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 represents the gross fair value of out-of-the-money derivative contracts containing credit-risk-related contingent features ignoring the effects of master netting agreements.</w:t>
      </w:r>
    </w:p>
    <w:p>
      <w:pPr>
        <w:ind w:left="340" w:hanging="332"/>
        <w:spacing w:after="0" w:line="259"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 represents the offsetting fair value of in-the-money derivative contracts under legally enforceable master netting agreements with the same counterparty, which reduces the amount of any liability for which we could potentially be required to post collateral.</w:t>
      </w:r>
    </w:p>
    <w:p>
      <w:pPr>
        <w:ind w:left="340" w:hanging="332"/>
        <w:spacing w:after="0" w:line="283"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Amount represents the net fair value of out-of-the-money derivative contracts containing credit-risk-related contingent features after considering the mitigating effects of offsetting positions under master netting arrangements and reflects the actual net liability upon which any potential contingent collateral obligations would be based.</w:t>
      </w:r>
    </w:p>
    <w:p>
      <w:pPr>
        <w:spacing w:after="0" w:line="12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As of June 30, 2023 and December 31, 2022, we posted or held the following amounts of cash collateral and letters of credit on derivative contracts with external counterparties, after giving consideration to offsetting derivative and non-derivative positions under master netting agreements.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1820" w:type="dxa"/>
            <w:vAlign w:val="bottom"/>
          </w:tcPr>
          <w:p>
            <w:pPr>
              <w:jc w:val="right"/>
              <w:ind w:right="88"/>
              <w:spacing w:after="0"/>
              <w:rPr>
                <w:sz w:val="20"/>
                <w:szCs w:val="20"/>
                <w:color w:val="auto"/>
              </w:rPr>
            </w:pPr>
            <w:r>
              <w:rPr>
                <w:rFonts w:ascii="Arial" w:cs="Arial" w:eastAsia="Arial" w:hAnsi="Arial"/>
                <w:sz w:val="13"/>
                <w:szCs w:val="13"/>
                <w:b w:val="1"/>
                <w:bCs w:val="1"/>
                <w:color w:val="auto"/>
              </w:rPr>
              <w:t>June 30, 2023</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tcPr>
          <w:p>
            <w:pPr>
              <w:jc w:val="right"/>
              <w:ind w:right="602"/>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35"/>
        </w:trPr>
        <w:tc>
          <w:tcPr>
            <w:tcW w:w="614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Cash collateral posted</w:t>
            </w:r>
            <w:r>
              <w:rPr>
                <w:rFonts w:ascii="Arial" w:cs="Arial" w:eastAsia="Arial" w:hAnsi="Arial"/>
                <w:sz w:val="21"/>
                <w:szCs w:val="21"/>
                <w:color w:val="auto"/>
                <w:vertAlign w:val="superscript"/>
              </w:rPr>
              <w:t>(a)</w:t>
            </w:r>
          </w:p>
        </w:tc>
        <w:tc>
          <w:tcPr>
            <w:tcW w:w="1820" w:type="dxa"/>
            <w:vAlign w:val="bottom"/>
            <w:shd w:val="clear" w:color="auto" w:fill="CCEEFF"/>
          </w:tcPr>
          <w:p>
            <w:pPr>
              <w:jc w:val="right"/>
              <w:ind w:right="1648"/>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line="216" w:lineRule="exact"/>
              <w:rPr>
                <w:sz w:val="20"/>
                <w:szCs w:val="20"/>
                <w:color w:val="auto"/>
              </w:rPr>
            </w:pPr>
            <w:r>
              <w:rPr>
                <w:rFonts w:ascii="Arial" w:cs="Arial" w:eastAsia="Arial" w:hAnsi="Arial"/>
                <w:sz w:val="16"/>
                <w:szCs w:val="16"/>
                <w:color w:val="auto"/>
              </w:rPr>
              <w:t>Letters of credit posted</w:t>
            </w:r>
            <w:r>
              <w:rPr>
                <w:rFonts w:ascii="Arial" w:cs="Arial" w:eastAsia="Arial" w:hAnsi="Arial"/>
                <w:sz w:val="21"/>
                <w:szCs w:val="21"/>
                <w:color w:val="auto"/>
                <w:vertAlign w:val="superscript"/>
              </w:rPr>
              <w:t>(a)</w:t>
            </w:r>
          </w:p>
        </w:tc>
        <w:tc>
          <w:tcPr>
            <w:tcW w:w="1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Cash collateral held</w:t>
            </w:r>
            <w:r>
              <w:rPr>
                <w:rFonts w:ascii="Arial" w:cs="Arial" w:eastAsia="Arial" w:hAnsi="Arial"/>
                <w:sz w:val="21"/>
                <w:szCs w:val="21"/>
                <w:color w:val="auto"/>
                <w:vertAlign w:val="superscript"/>
              </w:rPr>
              <w:t>(a)</w:t>
            </w:r>
          </w:p>
        </w:tc>
        <w:tc>
          <w:tcPr>
            <w:tcW w:w="18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line="216" w:lineRule="exact"/>
              <w:rPr>
                <w:sz w:val="20"/>
                <w:szCs w:val="20"/>
                <w:color w:val="auto"/>
              </w:rPr>
            </w:pPr>
            <w:r>
              <w:rPr>
                <w:rFonts w:ascii="Arial" w:cs="Arial" w:eastAsia="Arial" w:hAnsi="Arial"/>
                <w:sz w:val="16"/>
                <w:szCs w:val="16"/>
                <w:color w:val="auto"/>
              </w:rPr>
              <w:t>Letters of credit held</w:t>
            </w:r>
            <w:r>
              <w:rPr>
                <w:rFonts w:ascii="Arial" w:cs="Arial" w:eastAsia="Arial" w:hAnsi="Arial"/>
                <w:sz w:val="21"/>
                <w:szCs w:val="21"/>
                <w:color w:val="auto"/>
                <w:vertAlign w:val="superscript"/>
              </w:rPr>
              <w:t>(a)</w:t>
            </w:r>
          </w:p>
        </w:tc>
        <w:tc>
          <w:tcPr>
            <w:tcW w:w="1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62"/>
        </w:trPr>
        <w:tc>
          <w:tcPr>
            <w:tcW w:w="61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Additional collateral required in the event of a credit downgrade below investment</w:t>
            </w:r>
          </w:p>
        </w:tc>
        <w:tc>
          <w:tcPr>
            <w:tcW w:w="18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1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3,337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grade (at BB+/Ba1)</w:t>
            </w:r>
            <w:r>
              <w:rPr>
                <w:rFonts w:ascii="Arial" w:cs="Arial" w:eastAsia="Arial" w:hAnsi="Arial"/>
                <w:sz w:val="21"/>
                <w:szCs w:val="21"/>
                <w:color w:val="auto"/>
                <w:vertAlign w:val="superscript"/>
              </w:rPr>
              <w:t>(b)(c)</w:t>
            </w:r>
          </w:p>
        </w:tc>
        <w:tc>
          <w:tcPr>
            <w:tcW w:w="18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cash collateral and letters of credit amounts are inclusive of NPNS contracts.</w:t>
      </w:r>
    </w:p>
    <w:p>
      <w:pPr>
        <w:spacing w:after="0" w:line="16"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of our contracts contain provisions that allow a counterparty to request additional collateral when there has been a subjective determination that our credit quality has deteriorated, generally termed “adequate assurance”. Due to the subjective nature of these provisions, we estimate the amount of collateral that we may ultimately be required to post in relation to the maximum exposure with the counterparty.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downgrade collateral is inclusive of all contracts in a liability position regardless of accounting treatment.</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entered into supply forward contracts with certain utilities with one-sided collateral postings only from us. If market prices fall below the benchmark price levels in these contracts, the utilities are not required to post collateral. However, when market prices rise above the benchmark price levels, counterparty suppliers, including us, are required to post collateral once certain unsecured credit limits are exceeded.</w:t>
      </w:r>
    </w:p>
    <w:p>
      <w:pPr>
        <w:spacing w:after="0" w:line="114" w:lineRule="exact"/>
        <w:rPr>
          <w:sz w:val="20"/>
          <w:szCs w:val="20"/>
          <w:color w:val="auto"/>
        </w:rPr>
      </w:pPr>
    </w:p>
    <w:p>
      <w:pPr>
        <w:ind w:right="8780" w:firstLine="8"/>
        <w:spacing w:after="0" w:line="471" w:lineRule="auto"/>
        <w:tabs>
          <w:tab w:leader="none" w:pos="26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Debt and Credit Agreements Short-Term Borrowings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meet our short-term liquidity requirements primarily through the issuance of commercial paper. We may use our credit facility for general corporate purposes, including meeting short-term funding requirements and the issuance of letters of credit.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Note 11 — Debt and Credit Agreements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our commercial paper program supported by the revolving credit agreements as of June 30, 2023 and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3"/>
                <w:szCs w:val="13"/>
                <w:color w:val="auto"/>
              </w:rPr>
            </w:pPr>
          </w:p>
        </w:tc>
        <w:tc>
          <w:tcPr>
            <w:tcW w:w="1640" w:type="dxa"/>
            <w:vAlign w:val="bottom"/>
            <w:gridSpan w:val="3"/>
          </w:tcPr>
          <w:p>
            <w:pPr>
              <w:jc w:val="center"/>
              <w:ind w:left="31"/>
              <w:spacing w:after="0"/>
              <w:rPr>
                <w:sz w:val="20"/>
                <w:szCs w:val="20"/>
                <w:color w:val="auto"/>
              </w:rPr>
            </w:pPr>
            <w:r>
              <w:rPr>
                <w:rFonts w:ascii="Arial" w:cs="Arial" w:eastAsia="Arial" w:hAnsi="Arial"/>
                <w:sz w:val="13"/>
                <w:szCs w:val="13"/>
                <w:b w:val="1"/>
                <w:bCs w:val="1"/>
                <w:color w:val="auto"/>
                <w:w w:val="97"/>
              </w:rPr>
              <w:t>Outstanding Commercial</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Weighted Average Interest Rate on</w:t>
            </w:r>
          </w:p>
        </w:tc>
      </w:tr>
      <w:tr>
        <w:trPr>
          <w:trHeight w:val="176"/>
        </w:trPr>
        <w:tc>
          <w:tcPr>
            <w:tcW w:w="1840" w:type="dxa"/>
            <w:vAlign w:val="bottom"/>
          </w:tcPr>
          <w:p>
            <w:pPr>
              <w:spacing w:after="0"/>
              <w:rPr>
                <w:sz w:val="15"/>
                <w:szCs w:val="15"/>
                <w:color w:val="auto"/>
              </w:rPr>
            </w:pPr>
          </w:p>
        </w:tc>
        <w:tc>
          <w:tcPr>
            <w:tcW w:w="1640" w:type="dxa"/>
            <w:vAlign w:val="bottom"/>
            <w:gridSpan w:val="3"/>
          </w:tcPr>
          <w:p>
            <w:pPr>
              <w:jc w:val="center"/>
              <w:ind w:left="11"/>
              <w:spacing w:after="0"/>
              <w:rPr>
                <w:sz w:val="20"/>
                <w:szCs w:val="20"/>
                <w:color w:val="auto"/>
              </w:rPr>
            </w:pPr>
            <w:r>
              <w:rPr>
                <w:rFonts w:ascii="Arial" w:cs="Arial" w:eastAsia="Arial" w:hAnsi="Arial"/>
                <w:sz w:val="13"/>
                <w:szCs w:val="13"/>
                <w:b w:val="1"/>
                <w:bCs w:val="1"/>
                <w:color w:val="auto"/>
                <w:w w:val="96"/>
              </w:rPr>
              <w:t>Paper as of</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Commercial Paper Borrowings as of</w:t>
            </w: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4"/>
        </w:trPr>
        <w:tc>
          <w:tcPr>
            <w:tcW w:w="1840" w:type="dxa"/>
            <w:vAlign w:val="bottom"/>
          </w:tcPr>
          <w:p>
            <w:pPr>
              <w:jc w:val="right"/>
              <w:ind w:right="28"/>
              <w:spacing w:after="0"/>
              <w:rPr>
                <w:sz w:val="20"/>
                <w:szCs w:val="20"/>
                <w:color w:val="auto"/>
              </w:rPr>
            </w:pPr>
            <w:r>
              <w:rPr>
                <w:rFonts w:ascii="Arial" w:cs="Arial" w:eastAsia="Arial" w:hAnsi="Arial"/>
                <w:sz w:val="13"/>
                <w:szCs w:val="13"/>
                <w:b w:val="1"/>
                <w:bCs w:val="1"/>
                <w:color w:val="auto"/>
              </w:rPr>
              <w:t>June 30, 2023</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20" w:type="dxa"/>
            <w:vAlign w:val="bottom"/>
          </w:tcPr>
          <w:p>
            <w:pPr>
              <w:jc w:val="right"/>
              <w:ind w:right="668"/>
              <w:spacing w:after="0"/>
              <w:rPr>
                <w:sz w:val="20"/>
                <w:szCs w:val="20"/>
                <w:color w:val="auto"/>
              </w:rPr>
            </w:pPr>
            <w:r>
              <w:rPr>
                <w:rFonts w:ascii="Arial" w:cs="Arial" w:eastAsia="Arial" w:hAnsi="Arial"/>
                <w:sz w:val="13"/>
                <w:szCs w:val="13"/>
                <w:b w:val="1"/>
                <w:bCs w:val="1"/>
                <w:color w:val="auto"/>
                <w:w w:val="99"/>
              </w:rPr>
              <w:t>December 31, 2022</w:t>
            </w:r>
          </w:p>
        </w:tc>
        <w:tc>
          <w:tcPr>
            <w:tcW w:w="120" w:type="dxa"/>
            <w:vAlign w:val="bottom"/>
          </w:tcPr>
          <w:p>
            <w:pPr>
              <w:spacing w:after="0"/>
              <w:rPr>
                <w:sz w:val="15"/>
                <w:szCs w:val="15"/>
                <w:color w:val="auto"/>
              </w:rPr>
            </w:pPr>
          </w:p>
        </w:tc>
        <w:tc>
          <w:tcPr>
            <w:tcW w:w="2800" w:type="dxa"/>
            <w:vAlign w:val="bottom"/>
          </w:tcPr>
          <w:p>
            <w:pPr>
              <w:jc w:val="right"/>
              <w:ind w:right="937"/>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2780" w:type="dxa"/>
            <w:vAlign w:val="bottom"/>
          </w:tcPr>
          <w:p>
            <w:pPr>
              <w:jc w:val="right"/>
              <w:ind w:right="757"/>
              <w:spacing w:after="0"/>
              <w:rPr>
                <w:sz w:val="20"/>
                <w:szCs w:val="20"/>
                <w:color w:val="auto"/>
              </w:rPr>
            </w:pPr>
            <w:r>
              <w:rPr>
                <w:rFonts w:ascii="Arial" w:cs="Arial" w:eastAsia="Arial" w:hAnsi="Arial"/>
                <w:sz w:val="13"/>
                <w:szCs w:val="13"/>
                <w:b w:val="1"/>
                <w:bCs w:val="1"/>
                <w:color w:val="auto"/>
              </w:rPr>
              <w:t>December 31, 2022</w:t>
            </w: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17"/>
        </w:trPr>
        <w:tc>
          <w:tcPr>
            <w:tcW w:w="1840" w:type="dxa"/>
            <w:vAlign w:val="bottom"/>
            <w:shd w:val="clear" w:color="auto" w:fill="CCEEFF"/>
          </w:tcPr>
          <w:p>
            <w:pPr>
              <w:jc w:val="right"/>
              <w:ind w:right="164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435</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5.33 %</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4.90 %</w:t>
            </w:r>
          </w:p>
        </w:tc>
      </w:tr>
      <w:tr>
        <w:trPr>
          <w:trHeight w:val="33"/>
        </w:trPr>
        <w:tc>
          <w:tcPr>
            <w:tcW w:w="18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Agreements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1, 2022, we entered into a new credit agreement establishing a $3.5 billion five-year revolving credit facility at a variable interest rate of SOFR plus 1.275% and on February 9, 2022 we entered into a $1 billion five-year liquidity facility with the primary purpose of supporting our letter of credit issuances. Many of our bilateral credit agreements remain in effect. See below for additional details.</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of June 30, 2023, we had the following aggregate bank commitments, credit facility borrowings and available capacity under our respective credit facilities: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4"/>
          </w:tcPr>
          <w:p>
            <w:pPr>
              <w:jc w:val="right"/>
              <w:ind w:right="307"/>
              <w:spacing w:after="0"/>
              <w:rPr>
                <w:sz w:val="20"/>
                <w:szCs w:val="20"/>
                <w:color w:val="auto"/>
              </w:rPr>
            </w:pPr>
            <w:r>
              <w:rPr>
                <w:rFonts w:ascii="Arial" w:cs="Arial" w:eastAsia="Arial" w:hAnsi="Arial"/>
                <w:sz w:val="13"/>
                <w:szCs w:val="13"/>
                <w:b w:val="1"/>
                <w:bCs w:val="1"/>
                <w:color w:val="auto"/>
              </w:rPr>
              <w:t>Available Capacity as of June 30, 2023</w:t>
            </w:r>
          </w:p>
        </w:tc>
      </w:tr>
      <w:tr>
        <w:trPr>
          <w:trHeight w:val="22"/>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47"/>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27"/>
              <w:spacing w:after="0" w:line="148" w:lineRule="exact"/>
              <w:rPr>
                <w:sz w:val="20"/>
                <w:szCs w:val="20"/>
                <w:color w:val="auto"/>
              </w:rPr>
            </w:pPr>
            <w:r>
              <w:rPr>
                <w:rFonts w:ascii="Arial" w:cs="Arial" w:eastAsia="Arial" w:hAnsi="Arial"/>
                <w:sz w:val="13"/>
                <w:szCs w:val="13"/>
                <w:b w:val="1"/>
                <w:bCs w:val="1"/>
                <w:color w:val="auto"/>
                <w:w w:val="98"/>
              </w:rPr>
              <w:t>To Support</w:t>
            </w: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27"/>
              <w:spacing w:after="0"/>
              <w:rPr>
                <w:sz w:val="20"/>
                <w:szCs w:val="20"/>
                <w:color w:val="auto"/>
              </w:rPr>
            </w:pPr>
            <w:r>
              <w:rPr>
                <w:rFonts w:ascii="Arial" w:cs="Arial" w:eastAsia="Arial" w:hAnsi="Arial"/>
                <w:sz w:val="13"/>
                <w:szCs w:val="13"/>
                <w:b w:val="1"/>
                <w:bCs w:val="1"/>
                <w:color w:val="auto"/>
                <w:w w:val="94"/>
              </w:rPr>
              <w:t>Additional</w:t>
            </w:r>
          </w:p>
        </w:tc>
      </w:tr>
      <w:tr>
        <w:trPr>
          <w:trHeight w:val="149"/>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184"/>
              <w:spacing w:after="0"/>
              <w:rPr>
                <w:sz w:val="20"/>
                <w:szCs w:val="20"/>
                <w:color w:val="auto"/>
              </w:rPr>
            </w:pPr>
            <w:r>
              <w:rPr>
                <w:rFonts w:ascii="Arial" w:cs="Arial" w:eastAsia="Arial" w:hAnsi="Arial"/>
                <w:sz w:val="13"/>
                <w:szCs w:val="13"/>
                <w:b w:val="1"/>
                <w:bCs w:val="1"/>
                <w:color w:val="auto"/>
              </w:rPr>
              <w:t>Aggregate Bank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Outstanding</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27"/>
              <w:spacing w:after="0"/>
              <w:rPr>
                <w:sz w:val="20"/>
                <w:szCs w:val="20"/>
                <w:color w:val="auto"/>
              </w:rPr>
            </w:pPr>
            <w:r>
              <w:rPr>
                <w:rFonts w:ascii="Arial" w:cs="Arial" w:eastAsia="Arial" w:hAnsi="Arial"/>
                <w:sz w:val="13"/>
                <w:szCs w:val="13"/>
                <w:b w:val="1"/>
                <w:bCs w:val="1"/>
                <w:color w:val="auto"/>
                <w:w w:val="96"/>
              </w:rPr>
              <w:t>Commercial</w:t>
            </w:r>
          </w:p>
        </w:tc>
      </w:tr>
      <w:tr>
        <w:trPr>
          <w:trHeight w:val="176"/>
        </w:trPr>
        <w:tc>
          <w:tcPr>
            <w:tcW w:w="3240" w:type="dxa"/>
            <w:vAlign w:val="bottom"/>
          </w:tcPr>
          <w:p>
            <w:pPr>
              <w:ind w:left="1240"/>
              <w:spacing w:after="0"/>
              <w:rPr>
                <w:sz w:val="20"/>
                <w:szCs w:val="20"/>
                <w:color w:val="auto"/>
              </w:rPr>
            </w:pPr>
            <w:r>
              <w:rPr>
                <w:rFonts w:ascii="Arial" w:cs="Arial" w:eastAsia="Arial" w:hAnsi="Arial"/>
                <w:sz w:val="13"/>
                <w:szCs w:val="13"/>
                <w:b w:val="1"/>
                <w:bCs w:val="1"/>
                <w:color w:val="auto"/>
              </w:rPr>
              <w:t>Facility Type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84"/>
              <w:spacing w:after="0"/>
              <w:rPr>
                <w:sz w:val="20"/>
                <w:szCs w:val="20"/>
                <w:color w:val="auto"/>
              </w:rPr>
            </w:pPr>
            <w:r>
              <w:rPr>
                <w:rFonts w:ascii="Arial" w:cs="Arial" w:eastAsia="Arial" w:hAnsi="Arial"/>
                <w:sz w:val="13"/>
                <w:szCs w:val="13"/>
                <w:b w:val="1"/>
                <w:bCs w:val="1"/>
                <w:color w:val="auto"/>
              </w:rPr>
              <w:t>Commitment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3"/>
                <w:szCs w:val="13"/>
                <w:b w:val="1"/>
                <w:bCs w:val="1"/>
                <w:color w:val="auto"/>
              </w:rPr>
              <w:t>Facility Draws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Letters of Credit</w:t>
            </w:r>
          </w:p>
        </w:tc>
        <w:tc>
          <w:tcPr>
            <w:tcW w:w="24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Arial" w:cs="Arial" w:eastAsia="Arial" w:hAnsi="Arial"/>
                <w:sz w:val="13"/>
                <w:szCs w:val="13"/>
                <w:b w:val="1"/>
                <w:bCs w:val="1"/>
                <w:color w:val="auto"/>
              </w:rPr>
              <w:t>Actual</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center"/>
              <w:ind w:right="127"/>
              <w:spacing w:after="0"/>
              <w:rPr>
                <w:sz w:val="20"/>
                <w:szCs w:val="20"/>
                <w:color w:val="auto"/>
              </w:rPr>
            </w:pPr>
            <w:r>
              <w:rPr>
                <w:rFonts w:ascii="Arial" w:cs="Arial" w:eastAsia="Arial" w:hAnsi="Arial"/>
                <w:sz w:val="13"/>
                <w:szCs w:val="13"/>
                <w:b w:val="1"/>
                <w:bCs w:val="1"/>
                <w:color w:val="auto"/>
                <w:w w:val="99"/>
              </w:rPr>
              <w:t>Paper</w:t>
            </w:r>
          </w:p>
        </w:tc>
      </w:tr>
      <w:tr>
        <w:trPr>
          <w:trHeight w:val="35"/>
        </w:trPr>
        <w:tc>
          <w:tcPr>
            <w:tcW w:w="3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Syndicated Revolver</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3,251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2,816</w:t>
            </w:r>
          </w:p>
        </w:tc>
      </w:tr>
      <w:tr>
        <w:trPr>
          <w:trHeight w:val="243"/>
        </w:trPr>
        <w:tc>
          <w:tcPr>
            <w:tcW w:w="3240" w:type="dxa"/>
            <w:vAlign w:val="bottom"/>
          </w:tcPr>
          <w:p>
            <w:pPr>
              <w:ind w:left="20"/>
              <w:spacing w:after="0"/>
              <w:rPr>
                <w:sz w:val="20"/>
                <w:szCs w:val="20"/>
                <w:color w:val="auto"/>
              </w:rPr>
            </w:pPr>
            <w:r>
              <w:rPr>
                <w:rFonts w:ascii="Arial" w:cs="Arial" w:eastAsia="Arial" w:hAnsi="Arial"/>
                <w:sz w:val="16"/>
                <w:szCs w:val="16"/>
                <w:color w:val="auto"/>
              </w:rPr>
              <w:t>Bilaterals</w:t>
            </w:r>
            <w:r>
              <w:rPr>
                <w:rFonts w:ascii="Arial" w:cs="Arial" w:eastAsia="Arial" w:hAnsi="Arial"/>
                <w:sz w:val="21"/>
                <w:szCs w:val="21"/>
                <w:color w:val="auto"/>
                <w:vertAlign w:val="superscript"/>
              </w:rPr>
              <w:t>(a)</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575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6"/>
                <w:szCs w:val="16"/>
                <w:color w:val="auto"/>
              </w:rPr>
              <w:t>—</w:t>
            </w:r>
          </w:p>
        </w:tc>
      </w:tr>
      <w:tr>
        <w:trPr>
          <w:trHeight w:val="23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Liquidity Facility</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322</w:t>
            </w:r>
          </w:p>
        </w:tc>
        <w:tc>
          <w:tcPr>
            <w:tcW w:w="6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1"/>
                <w:szCs w:val="11"/>
                <w:color w:val="auto"/>
                <w:w w:val="88"/>
              </w:rPr>
              <w:t>(b)</w:t>
            </w:r>
          </w:p>
        </w:tc>
        <w:tc>
          <w:tcPr>
            <w:tcW w:w="11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w:t>
            </w:r>
          </w:p>
        </w:tc>
      </w:tr>
      <w:tr>
        <w:trPr>
          <w:trHeight w:val="237"/>
        </w:trPr>
        <w:tc>
          <w:tcPr>
            <w:tcW w:w="3240" w:type="dxa"/>
            <w:vAlign w:val="bottom"/>
          </w:tcPr>
          <w:p>
            <w:pPr>
              <w:ind w:left="20"/>
              <w:spacing w:after="0"/>
              <w:rPr>
                <w:sz w:val="20"/>
                <w:szCs w:val="20"/>
                <w:color w:val="auto"/>
              </w:rPr>
            </w:pPr>
            <w:r>
              <w:rPr>
                <w:rFonts w:ascii="Arial" w:cs="Arial" w:eastAsia="Arial" w:hAnsi="Arial"/>
                <w:sz w:val="16"/>
                <w:szCs w:val="16"/>
                <w:color w:val="auto"/>
              </w:rPr>
              <w:t>Project Finance</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27</w:t>
            </w: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w:t>
            </w:r>
          </w:p>
        </w:tc>
      </w:tr>
      <w:tr>
        <w:trPr>
          <w:trHeight w:val="27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5,918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4,175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2,816</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jc w:val="both"/>
        <w:ind w:left="340" w:hanging="332"/>
        <w:spacing w:after="0" w:line="25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January 20, 2023, a bilateral credit agreement initiated on August 24, 2022 decreased from $100 million to $10 million. On March 29, 2023, we initiated a new bilateral credit agreement for $100 million, with a maturity date of March 29, 2025. On January 31, 2023, a bilateral credit agreement initiated on May 15, 2020 increased from $200 million to $250 million, and on March 31, 2023 this agreement increased to $300 million. On April 4, 2023, a bilateral credit agreement initiated on January 5, 2016 was extended for three years to April 3, 2026.</w:t>
      </w:r>
    </w:p>
    <w:p>
      <w:pPr>
        <w:jc w:val="both"/>
        <w:ind w:left="340" w:hanging="332"/>
        <w:spacing w:after="0" w:line="27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maximum amount of the bank commitment is not to exceed $971 million. The aggregate available capacity of the facility is subject to market fluctuations based on the value of U.S. Treasury Securities which determines the amount of collateral held in the trust. We may post additional collateral to borrow up to the maximum bank commitment. As of June 30, 2023, without posting additional collateral, the actual availability of facility, prior to outstanding letters of credit was $889 million.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Loan Agreements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March 31, 2020, we entered into a term loan agreement for $300 million. We repaid $100 million of the term loan on March 29, 2022. The remaining $200 million from the loan agreement was renewed on March 29, 2022 and repaid on March 29, 2023. Pursuant to the loan agreement, loans made thereunder bore interest at a variable rate equal to SOFR plus 0.80% and all indebtedness thereunder was unsecured. The loan was reflected in Short-term borrowings in the Consolidated Balance Sheet as of December 31, 2022.</w:t>
      </w:r>
    </w:p>
    <w:p>
      <w:pPr>
        <w:spacing w:after="0" w:line="14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January 26, 2023, we entered into a term loan agreement for $100 million. The loan agreement has an expiration of January 24, 2024. Pursuant to the loan agreement, loans made thereunder bear interest at a variable rate equal to SOFR plus 0.80% and all indebtedness thereunder is unsecured. The loan was reflected in Short-term borrowings in the Consolidated Balance Sheet as of June 30, 2023.</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9, 2023, we entered into a term loan agreement for $400 million. The loan agreement has an expiration of February 8, 2024. Pursuant to the loan agreement, loans made thereunder bear interest at a variable rate equal to SOFR plus 1.05% and all indebtedness thereunder is unsecured. The loan was reflected in Short-term borrowings in the Consolidated Balance Sheet as of June 30, 2023.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Note 11 — Debt and Credit Agreements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Issuances and Redemptions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the following long-term debt was issued: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ind w:left="1060"/>
              <w:spacing w:after="0"/>
              <w:rPr>
                <w:sz w:val="20"/>
                <w:szCs w:val="20"/>
                <w:color w:val="auto"/>
              </w:rPr>
            </w:pPr>
            <w:r>
              <w:rPr>
                <w:rFonts w:ascii="Arial" w:cs="Arial" w:eastAsia="Arial" w:hAnsi="Arial"/>
                <w:sz w:val="13"/>
                <w:szCs w:val="13"/>
                <w:b w:val="1"/>
                <w:bCs w:val="1"/>
                <w:color w:val="auto"/>
              </w:rPr>
              <w:t>Type</w:t>
            </w:r>
          </w:p>
        </w:tc>
        <w:tc>
          <w:tcPr>
            <w:tcW w:w="120" w:type="dxa"/>
            <w:vAlign w:val="bottom"/>
          </w:tcPr>
          <w:p>
            <w:pPr>
              <w:spacing w:after="0"/>
              <w:rPr>
                <w:sz w:val="15"/>
                <w:szCs w:val="15"/>
                <w:color w:val="auto"/>
              </w:rPr>
            </w:pPr>
          </w:p>
        </w:tc>
        <w:tc>
          <w:tcPr>
            <w:tcW w:w="1940" w:type="dxa"/>
            <w:vAlign w:val="bottom"/>
          </w:tcPr>
          <w:p>
            <w:pPr>
              <w:jc w:val="right"/>
              <w:ind w:right="528"/>
              <w:spacing w:after="0"/>
              <w:rPr>
                <w:sz w:val="20"/>
                <w:szCs w:val="20"/>
                <w:color w:val="auto"/>
              </w:rPr>
            </w:pPr>
            <w:r>
              <w:rPr>
                <w:rFonts w:ascii="Arial" w:cs="Arial" w:eastAsia="Arial" w:hAnsi="Arial"/>
                <w:sz w:val="13"/>
                <w:szCs w:val="13"/>
                <w:b w:val="1"/>
                <w:bCs w:val="1"/>
                <w:color w:val="auto"/>
              </w:rPr>
              <w:t>Interest Rate</w:t>
            </w:r>
          </w:p>
        </w:tc>
        <w:tc>
          <w:tcPr>
            <w:tcW w:w="120" w:type="dxa"/>
            <w:vAlign w:val="bottom"/>
          </w:tcPr>
          <w:p>
            <w:pPr>
              <w:spacing w:after="0"/>
              <w:rPr>
                <w:sz w:val="15"/>
                <w:szCs w:val="15"/>
                <w:color w:val="auto"/>
              </w:rPr>
            </w:pPr>
          </w:p>
        </w:tc>
        <w:tc>
          <w:tcPr>
            <w:tcW w:w="2140" w:type="dxa"/>
            <w:vAlign w:val="bottom"/>
          </w:tcPr>
          <w:p>
            <w:pPr>
              <w:jc w:val="right"/>
              <w:ind w:right="744"/>
              <w:spacing w:after="0"/>
              <w:rPr>
                <w:sz w:val="20"/>
                <w:szCs w:val="20"/>
                <w:color w:val="auto"/>
              </w:rPr>
            </w:pPr>
            <w:r>
              <w:rPr>
                <w:rFonts w:ascii="Arial" w:cs="Arial" w:eastAsia="Arial" w:hAnsi="Arial"/>
                <w:sz w:val="13"/>
                <w:szCs w:val="13"/>
                <w:b w:val="1"/>
                <w:bCs w:val="1"/>
                <w:color w:val="auto"/>
              </w:rPr>
              <w:t>Maturity</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23"/>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3180" w:type="dxa"/>
            <w:vAlign w:val="bottom"/>
          </w:tcPr>
          <w:p>
            <w:pPr>
              <w:ind w:left="1100"/>
              <w:spacing w:after="0"/>
              <w:rPr>
                <w:sz w:val="20"/>
                <w:szCs w:val="20"/>
                <w:color w:val="auto"/>
              </w:rPr>
            </w:pPr>
            <w:r>
              <w:rPr>
                <w:rFonts w:ascii="Arial" w:cs="Arial" w:eastAsia="Arial" w:hAnsi="Arial"/>
                <w:sz w:val="13"/>
                <w:szCs w:val="13"/>
                <w:b w:val="1"/>
                <w:bCs w:val="1"/>
                <w:color w:val="auto"/>
              </w:rPr>
              <w:t>Use of Proceeds</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fund general corporate purposes,</w:t>
            </w:r>
          </w:p>
        </w:tc>
      </w:tr>
      <w:tr>
        <w:trPr>
          <w:trHeight w:val="189"/>
        </w:trPr>
        <w:tc>
          <w:tcPr>
            <w:tcW w:w="2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including repayment of short-term</w:t>
            </w:r>
          </w:p>
        </w:tc>
      </w:tr>
      <w:tr>
        <w:trPr>
          <w:trHeight w:val="22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2028 Senior Notes</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5.60 %</w:t>
            </w:r>
          </w:p>
        </w:tc>
        <w:tc>
          <w:tcPr>
            <w:tcW w:w="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2028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19"/>
                <w:szCs w:val="19"/>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w:t>
            </w:r>
          </w:p>
        </w:tc>
      </w:tr>
      <w:tr>
        <w:trPr>
          <w:trHeight w:val="206"/>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To fund general corporate purposes,</w:t>
            </w:r>
          </w:p>
        </w:tc>
      </w:tr>
      <w:tr>
        <w:trPr>
          <w:trHeight w:val="189"/>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including repayment of short-term</w:t>
            </w:r>
          </w:p>
        </w:tc>
      </w:tr>
      <w:tr>
        <w:trPr>
          <w:trHeight w:val="207"/>
        </w:trPr>
        <w:tc>
          <w:tcPr>
            <w:tcW w:w="2420" w:type="dxa"/>
            <w:vAlign w:val="bottom"/>
          </w:tcPr>
          <w:p>
            <w:pPr>
              <w:ind w:left="20"/>
              <w:spacing w:after="0"/>
              <w:rPr>
                <w:sz w:val="20"/>
                <w:szCs w:val="20"/>
                <w:color w:val="auto"/>
              </w:rPr>
            </w:pPr>
            <w:r>
              <w:rPr>
                <w:rFonts w:ascii="Arial" w:cs="Arial" w:eastAsia="Arial" w:hAnsi="Arial"/>
                <w:sz w:val="16"/>
                <w:szCs w:val="16"/>
                <w:color w:val="auto"/>
              </w:rPr>
              <w:t>2033 Senior Notes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5.80 %</w:t>
            </w:r>
          </w:p>
        </w:tc>
        <w:tc>
          <w:tcPr>
            <w:tcW w:w="1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March 1, 2033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borrowings</w:t>
            </w:r>
          </w:p>
        </w:tc>
      </w:tr>
      <w:tr>
        <w:trPr>
          <w:trHeight w:val="33"/>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06"/>
        </w:trPr>
        <w:tc>
          <w:tcPr>
            <w:tcW w:w="2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 fund general corporate purposes,</w:t>
            </w:r>
          </w:p>
        </w:tc>
      </w:tr>
      <w:tr>
        <w:trPr>
          <w:trHeight w:val="189"/>
        </w:trPr>
        <w:tc>
          <w:tcPr>
            <w:tcW w:w="2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including repayment of short-term</w:t>
            </w:r>
          </w:p>
        </w:tc>
      </w:tr>
      <w:tr>
        <w:trPr>
          <w:trHeight w:val="24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Tax-Exempt Notes Reoffering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4.10% - 4.45%</w:t>
            </w:r>
          </w:p>
        </w:tc>
        <w:tc>
          <w:tcPr>
            <w:tcW w:w="120" w:type="dxa"/>
            <w:vAlign w:val="bottom"/>
            <w:shd w:val="clear" w:color="auto" w:fill="CCEEFF"/>
          </w:tcPr>
          <w:p>
            <w:pPr>
              <w:spacing w:after="0"/>
              <w:rPr>
                <w:sz w:val="20"/>
                <w:szCs w:val="20"/>
                <w:color w:val="auto"/>
              </w:rPr>
            </w:pPr>
          </w:p>
        </w:tc>
        <w:tc>
          <w:tcPr>
            <w:tcW w:w="2140" w:type="dxa"/>
            <w:vAlign w:val="bottom"/>
            <w:shd w:val="clear" w:color="auto" w:fill="CCEEFF"/>
          </w:tcPr>
          <w:p>
            <w:pPr>
              <w:jc w:val="right"/>
              <w:ind w:right="544"/>
              <w:spacing w:after="0" w:line="240" w:lineRule="exact"/>
              <w:rPr>
                <w:sz w:val="20"/>
                <w:szCs w:val="20"/>
                <w:color w:val="auto"/>
              </w:rPr>
            </w:pPr>
            <w:r>
              <w:rPr>
                <w:rFonts w:ascii="Arial" w:cs="Arial" w:eastAsia="Arial" w:hAnsi="Arial"/>
                <w:sz w:val="16"/>
                <w:szCs w:val="16"/>
                <w:color w:val="auto"/>
              </w:rPr>
              <w:t>2025-2053</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r>
      <w:tr>
        <w:trPr>
          <w:trHeight w:val="206"/>
        </w:trPr>
        <w:tc>
          <w:tcPr>
            <w:tcW w:w="2420" w:type="dxa"/>
            <w:vAlign w:val="bottom"/>
          </w:tcPr>
          <w:p>
            <w:pPr>
              <w:ind w:left="20"/>
              <w:spacing w:after="0"/>
              <w:rPr>
                <w:sz w:val="20"/>
                <w:szCs w:val="20"/>
                <w:color w:val="auto"/>
              </w:rPr>
            </w:pPr>
            <w:r>
              <w:rPr>
                <w:rFonts w:ascii="Arial" w:cs="Arial" w:eastAsia="Arial" w:hAnsi="Arial"/>
                <w:sz w:val="16"/>
                <w:szCs w:val="16"/>
                <w:color w:val="auto"/>
              </w:rPr>
              <w:t>Energy Efficiency Project</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Funding to install energy conservation</w:t>
            </w:r>
          </w:p>
        </w:tc>
      </w:tr>
      <w:tr>
        <w:trPr>
          <w:trHeight w:val="278"/>
        </w:trPr>
        <w:tc>
          <w:tcPr>
            <w:tcW w:w="2420" w:type="dxa"/>
            <w:vAlign w:val="bottom"/>
          </w:tcPr>
          <w:p>
            <w:pPr>
              <w:ind w:left="20"/>
              <w:spacing w:after="0"/>
              <w:rPr>
                <w:sz w:val="20"/>
                <w:szCs w:val="20"/>
                <w:color w:val="auto"/>
              </w:rPr>
            </w:pPr>
            <w:r>
              <w:rPr>
                <w:rFonts w:ascii="Arial" w:cs="Arial" w:eastAsia="Arial" w:hAnsi="Arial"/>
                <w:sz w:val="16"/>
                <w:szCs w:val="16"/>
                <w:color w:val="auto"/>
              </w:rPr>
              <w:t>Financing</w:t>
            </w:r>
            <w:r>
              <w:rPr>
                <w:rFonts w:ascii="Arial" w:cs="Arial" w:eastAsia="Arial" w:hAnsi="Arial"/>
                <w:sz w:val="21"/>
                <w:szCs w:val="21"/>
                <w:color w:val="auto"/>
                <w:vertAlign w:val="superscript"/>
              </w:rPr>
              <w:t>(b)</w:t>
            </w:r>
          </w:p>
        </w:tc>
        <w:tc>
          <w:tcPr>
            <w:tcW w:w="120" w:type="dxa"/>
            <w:vAlign w:val="bottom"/>
          </w:tcPr>
          <w:p>
            <w:pPr>
              <w:spacing w:after="0"/>
              <w:rPr>
                <w:sz w:val="24"/>
                <w:szCs w:val="24"/>
                <w:color w:val="auto"/>
              </w:rPr>
            </w:pPr>
          </w:p>
        </w:tc>
        <w:tc>
          <w:tcPr>
            <w:tcW w:w="4200" w:type="dxa"/>
            <w:vAlign w:val="bottom"/>
            <w:gridSpan w:val="3"/>
          </w:tcPr>
          <w:p>
            <w:pPr>
              <w:jc w:val="right"/>
              <w:spacing w:after="0"/>
              <w:rPr>
                <w:sz w:val="20"/>
                <w:szCs w:val="20"/>
                <w:color w:val="auto"/>
              </w:rPr>
            </w:pPr>
            <w:r>
              <w:rPr>
                <w:rFonts w:ascii="Arial" w:cs="Arial" w:eastAsia="Arial" w:hAnsi="Arial"/>
                <w:sz w:val="16"/>
                <w:szCs w:val="16"/>
                <w:color w:val="auto"/>
              </w:rPr>
              <w:t>2.20% - 4.96%   May 31, 2023 - May 1, 2024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4"/>
                <w:szCs w:val="24"/>
                <w:color w:val="auto"/>
              </w:rPr>
            </w:pPr>
          </w:p>
        </w:tc>
        <w:tc>
          <w:tcPr>
            <w:tcW w:w="3180" w:type="dxa"/>
            <w:vAlign w:val="bottom"/>
          </w:tcPr>
          <w:p>
            <w:pPr>
              <w:ind w:left="20"/>
              <w:spacing w:after="0"/>
              <w:rPr>
                <w:sz w:val="20"/>
                <w:szCs w:val="20"/>
                <w:color w:val="auto"/>
              </w:rPr>
            </w:pPr>
            <w:r>
              <w:rPr>
                <w:rFonts w:ascii="Arial" w:cs="Arial" w:eastAsia="Arial" w:hAnsi="Arial"/>
                <w:sz w:val="16"/>
                <w:szCs w:val="16"/>
                <w:color w:val="auto"/>
              </w:rPr>
              <w:t>measures</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Tax Exempt Notes have a maturity date of March 1, 2025 - April 1, 2053, and a mandatory purchase date that ranges from March 1, 2025 - June 1, 2029.</w:t>
      </w:r>
    </w:p>
    <w:p>
      <w:pPr>
        <w:spacing w:after="0" w:line="14" w:lineRule="exact"/>
        <w:rPr>
          <w:rFonts w:ascii="Arial" w:cs="Arial" w:eastAsia="Arial" w:hAnsi="Arial"/>
          <w:sz w:val="14"/>
          <w:szCs w:val="14"/>
          <w:color w:val="auto"/>
        </w:rPr>
      </w:pPr>
    </w:p>
    <w:p>
      <w:pPr>
        <w:ind w:left="340" w:hanging="332"/>
        <w:spacing w:after="0" w:line="283"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Energy Efficiency Project Financing, the maturity dates represent the expected date of project completion, upon which the respective customer assumes the outstanding debt.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the following long-term debt was redeemed: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ind w:left="2020"/>
              <w:spacing w:after="0"/>
              <w:rPr>
                <w:sz w:val="20"/>
                <w:szCs w:val="20"/>
                <w:color w:val="auto"/>
              </w:rPr>
            </w:pPr>
            <w:r>
              <w:rPr>
                <w:rFonts w:ascii="Arial" w:cs="Arial" w:eastAsia="Arial" w:hAnsi="Arial"/>
                <w:sz w:val="13"/>
                <w:szCs w:val="13"/>
                <w:b w:val="1"/>
                <w:bCs w:val="1"/>
                <w:color w:val="auto"/>
              </w:rPr>
              <w:t>Type</w:t>
            </w:r>
          </w:p>
        </w:tc>
        <w:tc>
          <w:tcPr>
            <w:tcW w:w="3180" w:type="dxa"/>
            <w:vAlign w:val="bottom"/>
          </w:tcPr>
          <w:p>
            <w:pPr>
              <w:jc w:val="center"/>
              <w:ind w:left="101"/>
              <w:spacing w:after="0"/>
              <w:rPr>
                <w:sz w:val="20"/>
                <w:szCs w:val="20"/>
                <w:color w:val="auto"/>
              </w:rPr>
            </w:pPr>
            <w:r>
              <w:rPr>
                <w:rFonts w:ascii="Arial" w:cs="Arial" w:eastAsia="Arial" w:hAnsi="Arial"/>
                <w:sz w:val="13"/>
                <w:szCs w:val="13"/>
                <w:b w:val="1"/>
                <w:bCs w:val="1"/>
                <w:color w:val="auto"/>
                <w:w w:val="96"/>
              </w:rPr>
              <w:t>Interest Rate</w:t>
            </w: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4"/>
              </w:rPr>
              <w:t>Maturity</w:t>
            </w:r>
          </w:p>
        </w:tc>
        <w:tc>
          <w:tcPr>
            <w:tcW w:w="820" w:type="dxa"/>
            <w:vAlign w:val="bottom"/>
          </w:tcPr>
          <w:p>
            <w:pPr>
              <w:spacing w:after="0"/>
              <w:rPr>
                <w:sz w:val="15"/>
                <w:szCs w:val="15"/>
                <w:color w:val="auto"/>
              </w:rPr>
            </w:pPr>
          </w:p>
        </w:tc>
        <w:tc>
          <w:tcPr>
            <w:tcW w:w="900" w:type="dxa"/>
            <w:vAlign w:val="bottom"/>
          </w:tcPr>
          <w:p>
            <w:pPr>
              <w:jc w:val="right"/>
              <w:ind w:right="242"/>
              <w:spacing w:after="0"/>
              <w:rPr>
                <w:sz w:val="20"/>
                <w:szCs w:val="20"/>
                <w:color w:val="auto"/>
              </w:rPr>
            </w:pPr>
            <w:r>
              <w:rPr>
                <w:rFonts w:ascii="Arial" w:cs="Arial" w:eastAsia="Arial" w:hAnsi="Arial"/>
                <w:sz w:val="13"/>
                <w:szCs w:val="13"/>
                <w:b w:val="1"/>
                <w:bCs w:val="1"/>
                <w:i w:val="1"/>
                <w:iCs w:val="1"/>
                <w:color w:val="auto"/>
              </w:rPr>
              <w:t>Amount</w:t>
            </w:r>
          </w:p>
        </w:tc>
      </w:tr>
      <w:tr>
        <w:trPr>
          <w:trHeight w:val="22"/>
        </w:trPr>
        <w:tc>
          <w:tcPr>
            <w:tcW w:w="36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Energy Efficiency Project Financing</w:t>
            </w:r>
          </w:p>
        </w:tc>
        <w:tc>
          <w:tcPr>
            <w:tcW w:w="3180" w:type="dxa"/>
            <w:vAlign w:val="bottom"/>
            <w:shd w:val="clear" w:color="auto" w:fill="CCEEFF"/>
          </w:tcPr>
          <w:p>
            <w:pPr>
              <w:jc w:val="center"/>
              <w:ind w:left="121"/>
              <w:spacing w:after="0"/>
              <w:rPr>
                <w:sz w:val="20"/>
                <w:szCs w:val="20"/>
                <w:color w:val="auto"/>
              </w:rPr>
            </w:pPr>
            <w:r>
              <w:rPr>
                <w:rFonts w:ascii="Arial" w:cs="Arial" w:eastAsia="Arial" w:hAnsi="Arial"/>
                <w:sz w:val="16"/>
                <w:szCs w:val="16"/>
                <w:color w:val="auto"/>
              </w:rPr>
              <w:t>3.71%</w:t>
            </w:r>
          </w:p>
        </w:tc>
        <w:tc>
          <w:tcPr>
            <w:tcW w:w="2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May 31, 2023</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r>
      <w:tr>
        <w:trPr>
          <w:trHeight w:val="223"/>
        </w:trPr>
        <w:tc>
          <w:tcPr>
            <w:tcW w:w="3680" w:type="dxa"/>
            <w:vAlign w:val="bottom"/>
          </w:tcPr>
          <w:p>
            <w:pPr>
              <w:ind w:left="20"/>
              <w:spacing w:after="0"/>
              <w:rPr>
                <w:sz w:val="20"/>
                <w:szCs w:val="20"/>
                <w:color w:val="auto"/>
              </w:rPr>
            </w:pPr>
            <w:r>
              <w:rPr>
                <w:rFonts w:ascii="Arial" w:cs="Arial" w:eastAsia="Arial" w:hAnsi="Arial"/>
                <w:sz w:val="16"/>
                <w:szCs w:val="16"/>
                <w:color w:val="auto"/>
              </w:rPr>
              <w:t>CR Nonrecourse Debt</w:t>
            </w:r>
          </w:p>
        </w:tc>
        <w:tc>
          <w:tcPr>
            <w:tcW w:w="3180" w:type="dxa"/>
            <w:vAlign w:val="bottom"/>
          </w:tcPr>
          <w:p>
            <w:pPr>
              <w:jc w:val="center"/>
              <w:ind w:left="101"/>
              <w:spacing w:after="0"/>
              <w:rPr>
                <w:sz w:val="20"/>
                <w:szCs w:val="20"/>
                <w:color w:val="auto"/>
              </w:rPr>
            </w:pPr>
            <w:r>
              <w:rPr>
                <w:rFonts w:ascii="Arial" w:cs="Arial" w:eastAsia="Arial" w:hAnsi="Arial"/>
                <w:sz w:val="16"/>
                <w:szCs w:val="16"/>
                <w:color w:val="auto"/>
              </w:rPr>
              <w:t>3-month LIBOR + 2.50%</w:t>
            </w:r>
          </w:p>
        </w:tc>
        <w:tc>
          <w:tcPr>
            <w:tcW w:w="2660" w:type="dxa"/>
            <w:vAlign w:val="bottom"/>
          </w:tcPr>
          <w:p>
            <w:pPr>
              <w:jc w:val="center"/>
              <w:spacing w:after="0"/>
              <w:rPr>
                <w:sz w:val="20"/>
                <w:szCs w:val="20"/>
                <w:color w:val="auto"/>
              </w:rPr>
            </w:pPr>
            <w:r>
              <w:rPr>
                <w:rFonts w:ascii="Arial" w:cs="Arial" w:eastAsia="Arial" w:hAnsi="Arial"/>
                <w:sz w:val="16"/>
                <w:szCs w:val="16"/>
                <w:color w:val="auto"/>
              </w:rPr>
              <w:t>December 15, 2027</w:t>
            </w:r>
          </w:p>
        </w:tc>
        <w:tc>
          <w:tcPr>
            <w:tcW w:w="8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39</w:t>
            </w:r>
          </w:p>
        </w:tc>
      </w:tr>
      <w:tr>
        <w:trPr>
          <w:trHeight w:val="33"/>
        </w:trPr>
        <w:tc>
          <w:tcPr>
            <w:tcW w:w="36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Continental Wind Nonrecourse Debt</w:t>
            </w:r>
          </w:p>
        </w:tc>
        <w:tc>
          <w:tcPr>
            <w:tcW w:w="3180" w:type="dxa"/>
            <w:vAlign w:val="bottom"/>
            <w:shd w:val="clear" w:color="auto" w:fill="CCEEFF"/>
          </w:tcPr>
          <w:p>
            <w:pPr>
              <w:jc w:val="center"/>
              <w:ind w:left="121"/>
              <w:spacing w:after="0"/>
              <w:rPr>
                <w:sz w:val="20"/>
                <w:szCs w:val="20"/>
                <w:color w:val="auto"/>
              </w:rPr>
            </w:pPr>
            <w:r>
              <w:rPr>
                <w:rFonts w:ascii="Arial" w:cs="Arial" w:eastAsia="Arial" w:hAnsi="Arial"/>
                <w:sz w:val="16"/>
                <w:szCs w:val="16"/>
                <w:color w:val="auto"/>
              </w:rPr>
              <w:t>6.00%</w:t>
            </w:r>
          </w:p>
        </w:tc>
        <w:tc>
          <w:tcPr>
            <w:tcW w:w="2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February 28, 2033</w:t>
            </w: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r>
      <w:tr>
        <w:trPr>
          <w:trHeight w:val="209"/>
        </w:trPr>
        <w:tc>
          <w:tcPr>
            <w:tcW w:w="3680" w:type="dxa"/>
            <w:vAlign w:val="bottom"/>
          </w:tcPr>
          <w:p>
            <w:pPr>
              <w:spacing w:after="0"/>
              <w:rPr>
                <w:sz w:val="18"/>
                <w:szCs w:val="18"/>
                <w:color w:val="auto"/>
              </w:rPr>
            </w:pPr>
          </w:p>
        </w:tc>
        <w:tc>
          <w:tcPr>
            <w:tcW w:w="3180" w:type="dxa"/>
            <w:vAlign w:val="bottom"/>
          </w:tcPr>
          <w:p>
            <w:pPr>
              <w:jc w:val="center"/>
              <w:ind w:left="101"/>
              <w:spacing w:after="0"/>
              <w:rPr>
                <w:sz w:val="20"/>
                <w:szCs w:val="20"/>
                <w:color w:val="auto"/>
              </w:rPr>
            </w:pPr>
            <w:r>
              <w:rPr>
                <w:rFonts w:ascii="Arial" w:cs="Arial" w:eastAsia="Arial" w:hAnsi="Arial"/>
                <w:sz w:val="16"/>
                <w:szCs w:val="16"/>
                <w:color w:val="auto"/>
              </w:rPr>
              <w:t>1-month SOFR +</w:t>
            </w:r>
          </w:p>
        </w:tc>
        <w:tc>
          <w:tcPr>
            <w:tcW w:w="2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6"/>
                <w:szCs w:val="16"/>
                <w:color w:val="auto"/>
              </w:rPr>
              <w:t>West Medway II Nonrecourse Debt</w:t>
            </w:r>
          </w:p>
        </w:tc>
        <w:tc>
          <w:tcPr>
            <w:tcW w:w="3180" w:type="dxa"/>
            <w:vAlign w:val="bottom"/>
          </w:tcPr>
          <w:p>
            <w:pPr>
              <w:jc w:val="center"/>
              <w:ind w:left="101"/>
              <w:spacing w:after="0" w:line="236" w:lineRule="exact"/>
              <w:rPr>
                <w:sz w:val="20"/>
                <w:szCs w:val="20"/>
                <w:color w:val="auto"/>
              </w:rPr>
            </w:pPr>
            <w:r>
              <w:rPr>
                <w:rFonts w:ascii="Arial" w:cs="Arial" w:eastAsia="Arial" w:hAnsi="Arial"/>
                <w:sz w:val="16"/>
                <w:szCs w:val="16"/>
                <w:color w:val="auto"/>
                <w:w w:val="96"/>
              </w:rPr>
              <w:t xml:space="preserve">2.975% - 3.225% </w:t>
            </w:r>
            <w:r>
              <w:rPr>
                <w:rFonts w:ascii="Arial" w:cs="Arial" w:eastAsia="Arial" w:hAnsi="Arial"/>
                <w:sz w:val="21"/>
                <w:szCs w:val="21"/>
                <w:color w:val="auto"/>
                <w:w w:val="96"/>
                <w:vertAlign w:val="superscript"/>
              </w:rPr>
              <w:t>(a)</w:t>
            </w:r>
          </w:p>
        </w:tc>
        <w:tc>
          <w:tcPr>
            <w:tcW w:w="2660" w:type="dxa"/>
            <w:vAlign w:val="bottom"/>
          </w:tcPr>
          <w:p>
            <w:pPr>
              <w:jc w:val="center"/>
              <w:spacing w:after="0"/>
              <w:rPr>
                <w:sz w:val="20"/>
                <w:szCs w:val="20"/>
                <w:color w:val="auto"/>
              </w:rPr>
            </w:pPr>
            <w:r>
              <w:rPr>
                <w:rFonts w:ascii="Arial" w:cs="Arial" w:eastAsia="Arial" w:hAnsi="Arial"/>
                <w:sz w:val="16"/>
                <w:szCs w:val="16"/>
                <w:color w:val="auto"/>
              </w:rPr>
              <w:t>March 31, 2026</w:t>
            </w:r>
          </w:p>
        </w:tc>
        <w:tc>
          <w:tcPr>
            <w:tcW w:w="82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13</w:t>
            </w: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Antelope Valley DOE Nonrecourse Debt</w:t>
            </w:r>
          </w:p>
        </w:tc>
        <w:tc>
          <w:tcPr>
            <w:tcW w:w="3180" w:type="dxa"/>
            <w:vAlign w:val="bottom"/>
            <w:shd w:val="clear" w:color="auto" w:fill="CCEEFF"/>
          </w:tcPr>
          <w:p>
            <w:pPr>
              <w:jc w:val="center"/>
              <w:ind w:left="101"/>
              <w:spacing w:after="0"/>
              <w:rPr>
                <w:sz w:val="20"/>
                <w:szCs w:val="20"/>
                <w:color w:val="auto"/>
              </w:rPr>
            </w:pPr>
            <w:r>
              <w:rPr>
                <w:rFonts w:ascii="Arial" w:cs="Arial" w:eastAsia="Arial" w:hAnsi="Arial"/>
                <w:sz w:val="16"/>
                <w:szCs w:val="16"/>
                <w:color w:val="auto"/>
              </w:rPr>
              <w:t>2.29% - 3.56%</w:t>
            </w:r>
          </w:p>
        </w:tc>
        <w:tc>
          <w:tcPr>
            <w:tcW w:w="2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January 5, 2037</w:t>
            </w:r>
          </w:p>
        </w:tc>
        <w:tc>
          <w:tcPr>
            <w:tcW w:w="8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w:t>
            </w:r>
          </w:p>
        </w:tc>
      </w:tr>
      <w:tr>
        <w:trPr>
          <w:trHeight w:val="223"/>
        </w:trPr>
        <w:tc>
          <w:tcPr>
            <w:tcW w:w="3680" w:type="dxa"/>
            <w:vAlign w:val="bottom"/>
          </w:tcPr>
          <w:p>
            <w:pPr>
              <w:ind w:left="20"/>
              <w:spacing w:after="0"/>
              <w:rPr>
                <w:sz w:val="20"/>
                <w:szCs w:val="20"/>
                <w:color w:val="auto"/>
              </w:rPr>
            </w:pPr>
            <w:r>
              <w:rPr>
                <w:rFonts w:ascii="Arial" w:cs="Arial" w:eastAsia="Arial" w:hAnsi="Arial"/>
                <w:sz w:val="16"/>
                <w:szCs w:val="16"/>
                <w:color w:val="auto"/>
              </w:rPr>
              <w:t>RPG Nonrecourse Debt</w:t>
            </w:r>
          </w:p>
        </w:tc>
        <w:tc>
          <w:tcPr>
            <w:tcW w:w="3180" w:type="dxa"/>
            <w:vAlign w:val="bottom"/>
          </w:tcPr>
          <w:p>
            <w:pPr>
              <w:jc w:val="center"/>
              <w:ind w:left="101"/>
              <w:spacing w:after="0"/>
              <w:rPr>
                <w:sz w:val="20"/>
                <w:szCs w:val="20"/>
                <w:color w:val="auto"/>
              </w:rPr>
            </w:pPr>
            <w:r>
              <w:rPr>
                <w:rFonts w:ascii="Arial" w:cs="Arial" w:eastAsia="Arial" w:hAnsi="Arial"/>
                <w:sz w:val="16"/>
                <w:szCs w:val="16"/>
                <w:color w:val="auto"/>
                <w:w w:val="96"/>
              </w:rPr>
              <w:t>4.11%</w:t>
            </w:r>
          </w:p>
        </w:tc>
        <w:tc>
          <w:tcPr>
            <w:tcW w:w="2660" w:type="dxa"/>
            <w:vAlign w:val="bottom"/>
          </w:tcPr>
          <w:p>
            <w:pPr>
              <w:jc w:val="center"/>
              <w:spacing w:after="0"/>
              <w:rPr>
                <w:sz w:val="20"/>
                <w:szCs w:val="20"/>
                <w:color w:val="auto"/>
              </w:rPr>
            </w:pPr>
            <w:r>
              <w:rPr>
                <w:rFonts w:ascii="Arial" w:cs="Arial" w:eastAsia="Arial" w:hAnsi="Arial"/>
                <w:sz w:val="16"/>
                <w:szCs w:val="16"/>
                <w:color w:val="auto"/>
              </w:rPr>
              <w:t>March 31, 2035</w:t>
            </w:r>
          </w:p>
        </w:tc>
        <w:tc>
          <w:tcPr>
            <w:tcW w:w="8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line="283"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interest rate for long-term debt redemptions prior to May 2023 were based on LIBOR + 2.875%. Beginning in May 2023 these redemptions are based on SOFR + the variable interest rate of 2.975% - 3.225%.</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 from Affiliates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connection with the debt obligations assumed by Exelon as part of the 2012 merger, Exelon and our subsidiaries assumed intercompany loan agreements that mirror the terms and amounts of the third-party debt obligations of Exelon, resulting in intercompany notes payable to Exelon. In connection with the separation, on January 31, 2022, we paid cash to Exelon Corporate in the amount of $258 million to settle the intercompany loan with the difference of $61 million recorded to membership interest.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we are in compliance with all debt covenants.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Fair Value of Financial Assets and Liabilities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measure and classify fair value measurements in accordance with the hierarchy as defined by GAAP. The hierarchy prioritizes the inputs to valuation techniques used to measure fair value into three levels as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Note 12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we have the ability to liquidate as of the reporting date.</w:t>
      </w:r>
    </w:p>
    <w:p>
      <w:pPr>
        <w:spacing w:after="0" w:line="167"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directly observable for the asset or liability or indirectly observable through corroboration with observable market data.</w:t>
      </w:r>
    </w:p>
    <w:p>
      <w:pPr>
        <w:spacing w:after="0" w:line="104"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Level 3 — unobservable inputs, such as internally developed pricing models or third-party valuations for the asset or liability due to little or no market activity for the asset or liability.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Liabilities Recorded at Amortized Cost</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presents the carrying amounts and fair values of the short-term liabilities, long-term debt, and the SNF obligation as of June 30, 2023 and December 31, 2022. We have no financial liabilities classified as Level 1.</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carrying amounts of the short-term liabilities as presented in the Consolidated Balance Sheets are representative of their fair value (Level 2) because of the short-term nature of these instruments.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4"/>
          </w:tcPr>
          <w:p>
            <w:pPr>
              <w:jc w:val="right"/>
              <w:ind w:right="693"/>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4"/>
          </w:tcPr>
          <w:p>
            <w:pPr>
              <w:jc w:val="right"/>
              <w:ind w:right="533"/>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Carrying Amount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93"/>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Carrying Amount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93"/>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
        </w:trPr>
        <w:tc>
          <w:tcPr>
            <w:tcW w:w="16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including amounts</w:t>
            </w: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6,258</w:t>
            </w:r>
          </w:p>
        </w:tc>
        <w:tc>
          <w:tcPr>
            <w:tcW w:w="500" w:type="dxa"/>
            <w:vAlign w:val="bottom"/>
            <w:gridSpan w:val="2"/>
            <w:shd w:val="clear" w:color="auto" w:fill="CCEEFF"/>
          </w:tcPr>
          <w:p>
            <w:pPr>
              <w:jc w:val="right"/>
              <w:ind w:right="217"/>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859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4,547</w:t>
            </w:r>
          </w:p>
        </w:tc>
        <w:tc>
          <w:tcPr>
            <w:tcW w:w="0" w:type="dxa"/>
            <w:vAlign w:val="bottom"/>
          </w:tcPr>
          <w:p>
            <w:pPr>
              <w:spacing w:after="0"/>
              <w:rPr>
                <w:sz w:val="1"/>
                <w:szCs w:val="1"/>
                <w:color w:val="auto"/>
              </w:rPr>
            </w:pPr>
          </w:p>
        </w:tc>
      </w:tr>
      <w:tr>
        <w:trPr>
          <w:trHeight w:val="194"/>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within one year</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00" w:type="dxa"/>
            <w:vAlign w:val="bottom"/>
          </w:tcPr>
          <w:p>
            <w:pPr>
              <w:ind w:left="20"/>
              <w:spacing w:after="0"/>
              <w:rPr>
                <w:sz w:val="20"/>
                <w:szCs w:val="20"/>
                <w:color w:val="auto"/>
              </w:rPr>
            </w:pPr>
            <w:r>
              <w:rPr>
                <w:rFonts w:ascii="Arial" w:cs="Arial" w:eastAsia="Arial" w:hAnsi="Arial"/>
                <w:sz w:val="14"/>
                <w:szCs w:val="14"/>
                <w:color w:val="auto"/>
              </w:rPr>
              <w:t>SNF Obligation</w:t>
            </w:r>
          </w:p>
        </w:tc>
        <w:tc>
          <w:tcPr>
            <w:tcW w:w="3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Techniques Used to Determine Fair Value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valuation techniques used to measure the fair value of the assets and liabilities are in accordance with the policies discussed in Note 18 — Fair Value of Financial Assets and Liabilities of our 2022 Form 10-K.</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Techniques Used to Determine Net Asset Value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Certain NDT Fund Investments are not classified within the fair value hierarchy and are included under the heading “Not subject to leveling” in the table below. These investments are measured at fair value using NAV per share as a practical expedient and include commingled funds, mutual funds which are not publicly quoted, managed private credit funds, private equity and real estate funds.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commingled funds and mutual funds, which are not publicly quoted, the fair value is primarily derived from the quoted prices in active markets on the underlying securities and can typically be redeemed monthly with 30 or less days of notice and without further restrictions. For managed private credit funds, the fair value is determined using a combination of valuation models including cost models, market models, and income models and typically cannot be redeemed until maturity of the term loan. Private equity and real estate investments include those in limited partnerships that invest in operating companies and real estate holding companies that are not publicly traded on a stock exchange, such as, leveraged buyouts, growth capital, venture capital, distressed investments, investments in natural resources, and direct investments in pools of real estate properties. These investments typically cannot be redeemed and are generally liquidated over a period of 8 to 10 years from the initial investment date, which is based on our understanding of the investment funds. Private equity and real estate valuations are reported by the fund manager and are based on the valuation of the underlying investments, which include inputs such as cost, operating results, discounted future cash flows, market based comparable data, and independent appraisals from sources with professional qualifications. These valuation inputs are unobservable.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tables present assets and liabilities measured and recorded at fair value in the Consolidated Balance Sheets on a recurring basis and their level within the fair value hierarchy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12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7"/>
          </w:tcPr>
          <w:p>
            <w:pPr>
              <w:jc w:val="right"/>
              <w:ind w:right="657"/>
              <w:spacing w:after="0"/>
              <w:rPr>
                <w:sz w:val="20"/>
                <w:szCs w:val="20"/>
                <w:color w:val="auto"/>
              </w:rPr>
            </w:pPr>
            <w:r>
              <w:rPr>
                <w:rFonts w:ascii="Arial" w:cs="Arial" w:eastAsia="Arial" w:hAnsi="Arial"/>
                <w:sz w:val="13"/>
                <w:szCs w:val="13"/>
                <w:b w:val="1"/>
                <w:bCs w:val="1"/>
                <w:color w:val="auto"/>
                <w:w w:val="96"/>
              </w:rPr>
              <w:t>As of June 30, 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7"/>
          </w:tcPr>
          <w:p>
            <w:pPr>
              <w:jc w:val="right"/>
              <w:ind w:right="517"/>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7"/>
              <w:spacing w:after="0" w:line="148" w:lineRule="exact"/>
              <w:rPr>
                <w:sz w:val="20"/>
                <w:szCs w:val="20"/>
                <w:color w:val="auto"/>
              </w:rPr>
            </w:pPr>
            <w:r>
              <w:rPr>
                <w:rFonts w:ascii="Arial" w:cs="Arial" w:eastAsia="Arial" w:hAnsi="Arial"/>
                <w:sz w:val="13"/>
                <w:szCs w:val="13"/>
                <w:b w:val="1"/>
                <w:bCs w:val="1"/>
                <w:color w:val="auto"/>
              </w:rPr>
              <w:t>Not subject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7"/>
              <w:spacing w:after="0" w:line="148" w:lineRule="exact"/>
              <w:rPr>
                <w:sz w:val="20"/>
                <w:szCs w:val="20"/>
                <w:color w:val="auto"/>
              </w:rPr>
            </w:pPr>
            <w:r>
              <w:rPr>
                <w:rFonts w:ascii="Arial" w:cs="Arial" w:eastAsia="Arial" w:hAnsi="Arial"/>
                <w:sz w:val="13"/>
                <w:szCs w:val="13"/>
                <w:b w:val="1"/>
                <w:bCs w:val="1"/>
                <w:color w:val="auto"/>
                <w:w w:val="93"/>
              </w:rPr>
              <w:t>Not subject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b w:val="1"/>
                <w:bCs w:val="1"/>
                <w:color w:val="auto"/>
                <w:w w:val="99"/>
              </w:rPr>
              <w:t>Level 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to leveling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17"/>
              <w:spacing w:after="0"/>
              <w:rPr>
                <w:sz w:val="20"/>
                <w:szCs w:val="20"/>
                <w:color w:val="auto"/>
              </w:rPr>
            </w:pPr>
            <w:r>
              <w:rPr>
                <w:rFonts w:ascii="Arial" w:cs="Arial" w:eastAsia="Arial" w:hAnsi="Arial"/>
                <w:sz w:val="13"/>
                <w:szCs w:val="13"/>
                <w:b w:val="1"/>
                <w:bCs w:val="1"/>
                <w:color w:val="auto"/>
                <w:w w:val="99"/>
              </w:rPr>
              <w:t>Level 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37"/>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to leveling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5"/>
        </w:trPr>
        <w:tc>
          <w:tcPr>
            <w:tcW w:w="2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NDT fund investments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360"/>
              <w:spacing w:after="0" w:line="175"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(b)</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578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Equities</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3,990</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6,724</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3,462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6,381</w:t>
            </w:r>
          </w:p>
        </w:tc>
        <w:tc>
          <w:tcPr>
            <w:tcW w:w="0" w:type="dxa"/>
            <w:vAlign w:val="bottom"/>
          </w:tcPr>
          <w:p>
            <w:pPr>
              <w:spacing w:after="0"/>
              <w:rPr>
                <w:sz w:val="1"/>
                <w:szCs w:val="1"/>
                <w:color w:val="auto"/>
              </w:rPr>
            </w:pPr>
          </w:p>
        </w:tc>
      </w:tr>
      <w:tr>
        <w:trPr>
          <w:trHeight w:val="168"/>
        </w:trPr>
        <w:tc>
          <w:tcPr>
            <w:tcW w:w="2040" w:type="dxa"/>
            <w:vAlign w:val="bottom"/>
          </w:tcPr>
          <w:p>
            <w:pPr>
              <w:ind w:left="360"/>
              <w:spacing w:after="0"/>
              <w:rPr>
                <w:sz w:val="20"/>
                <w:szCs w:val="20"/>
                <w:color w:val="auto"/>
              </w:rPr>
            </w:pPr>
            <w:r>
              <w:rPr>
                <w:rFonts w:ascii="Arial" w:cs="Arial" w:eastAsia="Arial" w:hAnsi="Arial"/>
                <w:sz w:val="13"/>
                <w:szCs w:val="13"/>
                <w:color w:val="auto"/>
              </w:rPr>
              <w:t>Fixed income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Corporate debt</w:t>
            </w:r>
            <w:r>
              <w:rPr>
                <w:rFonts w:ascii="Arial" w:cs="Arial" w:eastAsia="Arial" w:hAnsi="Arial"/>
                <w:sz w:val="16"/>
                <w:szCs w:val="16"/>
                <w:color w:val="auto"/>
                <w:vertAlign w:val="superscript"/>
              </w:rPr>
              <w:t>(c)</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135"/>
        </w:trPr>
        <w:tc>
          <w:tcPr>
            <w:tcW w:w="2040" w:type="dxa"/>
            <w:vAlign w:val="bottom"/>
          </w:tcPr>
          <w:p>
            <w:pPr>
              <w:ind w:left="560"/>
              <w:spacing w:after="0" w:line="134" w:lineRule="exact"/>
              <w:rPr>
                <w:sz w:val="20"/>
                <w:szCs w:val="20"/>
                <w:color w:val="auto"/>
              </w:rPr>
            </w:pPr>
            <w:r>
              <w:rPr>
                <w:rFonts w:ascii="Arial" w:cs="Arial" w:eastAsia="Arial" w:hAnsi="Arial"/>
                <w:sz w:val="13"/>
                <w:szCs w:val="13"/>
                <w:color w:val="auto"/>
              </w:rPr>
              <w:t>U.S. Treasury and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560"/>
              <w:spacing w:after="0"/>
              <w:rPr>
                <w:sz w:val="20"/>
                <w:szCs w:val="20"/>
                <w:color w:val="auto"/>
              </w:rPr>
            </w:pPr>
            <w:r>
              <w:rPr>
                <w:rFonts w:ascii="Arial" w:cs="Arial" w:eastAsia="Arial" w:hAnsi="Arial"/>
                <w:sz w:val="13"/>
                <w:szCs w:val="13"/>
                <w:color w:val="auto"/>
              </w:rPr>
              <w:t>agencies</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2,042</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Foreign governments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0"/>
        </w:trPr>
        <w:tc>
          <w:tcPr>
            <w:tcW w:w="2040" w:type="dxa"/>
            <w:vAlign w:val="bottom"/>
          </w:tcPr>
          <w:p>
            <w:pPr>
              <w:ind w:left="560"/>
              <w:spacing w:after="0"/>
              <w:rPr>
                <w:sz w:val="20"/>
                <w:szCs w:val="20"/>
                <w:color w:val="auto"/>
              </w:rPr>
            </w:pPr>
            <w:r>
              <w:rPr>
                <w:rFonts w:ascii="Arial" w:cs="Arial" w:eastAsia="Arial" w:hAnsi="Arial"/>
                <w:sz w:val="13"/>
                <w:szCs w:val="13"/>
                <w:color w:val="auto"/>
              </w:rPr>
              <w:t>State and municipal debt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3"/>
                <w:szCs w:val="13"/>
                <w:color w:val="auto"/>
              </w:rPr>
              <w:t>Other</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1,889</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0" w:type="dxa"/>
            <w:vAlign w:val="bottom"/>
          </w:tcPr>
          <w:p>
            <w:pPr>
              <w:spacing w:after="0"/>
              <w:rPr>
                <w:sz w:val="1"/>
                <w:szCs w:val="1"/>
                <w:color w:val="auto"/>
              </w:rPr>
            </w:pPr>
          </w:p>
        </w:tc>
      </w:tr>
      <w:tr>
        <w:trPr>
          <w:trHeight w:val="174"/>
        </w:trPr>
        <w:tc>
          <w:tcPr>
            <w:tcW w:w="2040" w:type="dxa"/>
            <w:vAlign w:val="bottom"/>
          </w:tcPr>
          <w:p>
            <w:pPr>
              <w:ind w:left="360"/>
              <w:spacing w:after="0"/>
              <w:rPr>
                <w:sz w:val="20"/>
                <w:szCs w:val="20"/>
                <w:color w:val="auto"/>
              </w:rPr>
            </w:pPr>
            <w:r>
              <w:rPr>
                <w:rFonts w:ascii="Arial" w:cs="Arial" w:eastAsia="Arial" w:hAnsi="Arial"/>
                <w:sz w:val="13"/>
                <w:szCs w:val="13"/>
                <w:color w:val="auto"/>
              </w:rPr>
              <w:t>Fixed income subtotal</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4,974</w:t>
            </w:r>
          </w:p>
        </w:tc>
        <w:tc>
          <w:tcPr>
            <w:tcW w:w="0" w:type="dxa"/>
            <w:vAlign w:val="bottom"/>
          </w:tcPr>
          <w:p>
            <w:pPr>
              <w:spacing w:after="0"/>
              <w:rPr>
                <w:sz w:val="1"/>
                <w:szCs w:val="1"/>
                <w:color w:val="auto"/>
              </w:rPr>
            </w:pPr>
          </w:p>
        </w:tc>
      </w:tr>
      <w:tr>
        <w:trPr>
          <w:trHeight w:val="164"/>
        </w:trPr>
        <w:tc>
          <w:tcPr>
            <w:tcW w:w="2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Private credit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643</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168"/>
        </w:trPr>
        <w:tc>
          <w:tcPr>
            <w:tcW w:w="2040" w:type="dxa"/>
            <w:vAlign w:val="bottom"/>
          </w:tcPr>
          <w:p>
            <w:pPr>
              <w:ind w:left="360"/>
              <w:spacing w:after="0"/>
              <w:rPr>
                <w:sz w:val="20"/>
                <w:szCs w:val="20"/>
                <w:color w:val="auto"/>
              </w:rPr>
            </w:pPr>
            <w:r>
              <w:rPr>
                <w:rFonts w:ascii="Arial" w:cs="Arial" w:eastAsia="Arial" w:hAnsi="Arial"/>
                <w:sz w:val="13"/>
                <w:szCs w:val="13"/>
                <w:color w:val="auto"/>
              </w:rPr>
              <w:t>Private equity</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Real estate</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102"/>
        </w:trPr>
        <w:tc>
          <w:tcPr>
            <w:tcW w:w="2040" w:type="dxa"/>
            <w:vAlign w:val="bottom"/>
          </w:tcPr>
          <w:p>
            <w:pPr>
              <w:ind w:left="560"/>
              <w:spacing w:after="0" w:line="103" w:lineRule="exact"/>
              <w:rPr>
                <w:sz w:val="20"/>
                <w:szCs w:val="20"/>
                <w:color w:val="auto"/>
              </w:rPr>
            </w:pPr>
            <w:r>
              <w:rPr>
                <w:rFonts w:ascii="Arial" w:cs="Arial" w:eastAsia="Arial" w:hAnsi="Arial"/>
                <w:sz w:val="10"/>
                <w:szCs w:val="10"/>
                <w:color w:val="auto"/>
              </w:rPr>
              <w:t>NDT fund investments</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6,409</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2,844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421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5,278</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14,952</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5,828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2,630</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5,414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14,295</w:t>
            </w:r>
          </w:p>
        </w:tc>
        <w:tc>
          <w:tcPr>
            <w:tcW w:w="0" w:type="dxa"/>
            <w:vAlign w:val="bottom"/>
          </w:tcPr>
          <w:p>
            <w:pPr>
              <w:spacing w:after="0"/>
              <w:rPr>
                <w:sz w:val="1"/>
                <w:szCs w:val="1"/>
                <w:color w:val="auto"/>
              </w:rPr>
            </w:pPr>
          </w:p>
        </w:tc>
      </w:tr>
      <w:tr>
        <w:trPr>
          <w:trHeight w:val="175"/>
        </w:trPr>
        <w:tc>
          <w:tcPr>
            <w:tcW w:w="2040" w:type="dxa"/>
            <w:vAlign w:val="bottom"/>
          </w:tcPr>
          <w:p>
            <w:pPr>
              <w:ind w:left="560"/>
              <w:spacing w:after="0" w:line="175" w:lineRule="exact"/>
              <w:rPr>
                <w:sz w:val="20"/>
                <w:szCs w:val="20"/>
                <w:color w:val="auto"/>
              </w:rPr>
            </w:pPr>
            <w:r>
              <w:rPr>
                <w:rFonts w:ascii="Arial" w:cs="Arial" w:eastAsia="Arial" w:hAnsi="Arial"/>
                <w:sz w:val="13"/>
                <w:szCs w:val="13"/>
                <w:color w:val="auto"/>
              </w:rPr>
              <w:t>subtotal</w:t>
            </w:r>
            <w:r>
              <w:rPr>
                <w:rFonts w:ascii="Arial" w:cs="Arial" w:eastAsia="Arial" w:hAnsi="Arial"/>
                <w:sz w:val="16"/>
                <w:szCs w:val="16"/>
                <w:color w:val="auto"/>
                <w:vertAlign w:val="superscript"/>
              </w:rPr>
              <w:t>(d)(e)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Rabbi trust investments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360"/>
              <w:spacing w:after="0"/>
              <w:rPr>
                <w:sz w:val="20"/>
                <w:szCs w:val="20"/>
                <w:color w:val="auto"/>
              </w:rPr>
            </w:pPr>
            <w:r>
              <w:rPr>
                <w:rFonts w:ascii="Arial" w:cs="Arial" w:eastAsia="Arial" w:hAnsi="Arial"/>
                <w:sz w:val="13"/>
                <w:szCs w:val="13"/>
                <w:color w:val="auto"/>
              </w:rPr>
              <w:t>Cash equivalents</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Mutual funds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69"/>
        </w:trPr>
        <w:tc>
          <w:tcPr>
            <w:tcW w:w="2040" w:type="dxa"/>
            <w:vAlign w:val="bottom"/>
          </w:tcPr>
          <w:p>
            <w:pPr>
              <w:ind w:left="360"/>
              <w:spacing w:after="0"/>
              <w:rPr>
                <w:sz w:val="20"/>
                <w:szCs w:val="20"/>
                <w:color w:val="auto"/>
              </w:rPr>
            </w:pPr>
            <w:r>
              <w:rPr>
                <w:rFonts w:ascii="Arial" w:cs="Arial" w:eastAsia="Arial" w:hAnsi="Arial"/>
                <w:sz w:val="13"/>
                <w:szCs w:val="13"/>
                <w:color w:val="auto"/>
              </w:rPr>
              <w:t>Life insurance contracts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ind w:left="560"/>
              <w:spacing w:after="0" w:line="122" w:lineRule="exact"/>
              <w:rPr>
                <w:sz w:val="20"/>
                <w:szCs w:val="20"/>
                <w:color w:val="auto"/>
              </w:rPr>
            </w:pPr>
            <w:r>
              <w:rPr>
                <w:rFonts w:ascii="Arial" w:cs="Arial" w:eastAsia="Arial" w:hAnsi="Arial"/>
                <w:sz w:val="13"/>
                <w:szCs w:val="13"/>
                <w:color w:val="auto"/>
              </w:rPr>
              <w:t>Rabbi trust investments</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560"/>
              <w:spacing w:after="0"/>
              <w:rPr>
                <w:sz w:val="20"/>
                <w:szCs w:val="20"/>
                <w:color w:val="auto"/>
              </w:rPr>
            </w:pPr>
            <w:r>
              <w:rPr>
                <w:rFonts w:ascii="Arial" w:cs="Arial" w:eastAsia="Arial" w:hAnsi="Arial"/>
                <w:sz w:val="13"/>
                <w:szCs w:val="13"/>
                <w:color w:val="auto"/>
              </w:rPr>
              <w:t>subtotal</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line="169" w:lineRule="exact"/>
              <w:rPr>
                <w:sz w:val="20"/>
                <w:szCs w:val="20"/>
                <w:color w:val="auto"/>
              </w:rPr>
            </w:pPr>
            <w:r>
              <w:rPr>
                <w:rFonts w:ascii="Arial" w:cs="Arial" w:eastAsia="Arial" w:hAnsi="Arial"/>
                <w:sz w:val="13"/>
                <w:szCs w:val="13"/>
                <w:color w:val="auto"/>
              </w:rPr>
              <w:t>Investments in equities</w:t>
            </w:r>
            <w:r>
              <w:rPr>
                <w:rFonts w:ascii="Arial" w:cs="Arial" w:eastAsia="Arial" w:hAnsi="Arial"/>
                <w:sz w:val="16"/>
                <w:szCs w:val="16"/>
                <w:color w:val="auto"/>
                <w:vertAlign w:val="superscript"/>
              </w:rPr>
              <w:t>(f)</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9"/>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derivative assets</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360"/>
              <w:spacing w:after="0"/>
              <w:rPr>
                <w:sz w:val="20"/>
                <w:szCs w:val="20"/>
                <w:color w:val="auto"/>
              </w:rPr>
            </w:pPr>
            <w:r>
              <w:rPr>
                <w:rFonts w:ascii="Arial" w:cs="Arial" w:eastAsia="Arial" w:hAnsi="Arial"/>
                <w:sz w:val="13"/>
                <w:szCs w:val="13"/>
                <w:color w:val="auto"/>
              </w:rPr>
              <w:t>Economic hedges</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2,052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4,372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12,509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11,353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5,585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20,443</w:t>
            </w:r>
          </w:p>
        </w:tc>
        <w:tc>
          <w:tcPr>
            <w:tcW w:w="0" w:type="dxa"/>
            <w:vAlign w:val="bottom"/>
          </w:tcPr>
          <w:p>
            <w:pPr>
              <w:spacing w:after="0"/>
              <w:rPr>
                <w:sz w:val="1"/>
                <w:szCs w:val="1"/>
                <w:color w:val="auto"/>
              </w:rPr>
            </w:pPr>
          </w:p>
        </w:tc>
      </w:tr>
      <w:tr>
        <w:trPr>
          <w:trHeight w:val="177"/>
        </w:trPr>
        <w:tc>
          <w:tcPr>
            <w:tcW w:w="2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Proprietary trading</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21"/>
        </w:trPr>
        <w:tc>
          <w:tcPr>
            <w:tcW w:w="2040" w:type="dxa"/>
            <w:vAlign w:val="bottom"/>
          </w:tcPr>
          <w:p>
            <w:pPr>
              <w:ind w:left="360"/>
              <w:spacing w:after="0" w:line="122" w:lineRule="exact"/>
              <w:rPr>
                <w:sz w:val="20"/>
                <w:szCs w:val="20"/>
                <w:color w:val="auto"/>
              </w:rPr>
            </w:pPr>
            <w:r>
              <w:rPr>
                <w:rFonts w:ascii="Arial" w:cs="Arial" w:eastAsia="Arial" w:hAnsi="Arial"/>
                <w:sz w:val="13"/>
                <w:szCs w:val="13"/>
                <w:color w:val="auto"/>
              </w:rPr>
              <w:t>Effect of netting and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360"/>
              <w:spacing w:after="0" w:line="122" w:lineRule="exact"/>
              <w:rPr>
                <w:sz w:val="20"/>
                <w:szCs w:val="20"/>
                <w:color w:val="auto"/>
              </w:rPr>
            </w:pPr>
            <w:r>
              <w:rPr>
                <w:rFonts w:ascii="Arial" w:cs="Arial" w:eastAsia="Arial" w:hAnsi="Arial"/>
                <w:sz w:val="13"/>
                <w:szCs w:val="13"/>
                <w:color w:val="auto"/>
              </w:rPr>
              <w:t>allocation of</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(1,937)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(5,099)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(2,678)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(9,714)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(2,951)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(10,348)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(3,525)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(16,824)</w:t>
            </w:r>
          </w:p>
        </w:tc>
        <w:tc>
          <w:tcPr>
            <w:tcW w:w="0" w:type="dxa"/>
            <w:vAlign w:val="bottom"/>
          </w:tcPr>
          <w:p>
            <w:pPr>
              <w:spacing w:after="0"/>
              <w:rPr>
                <w:sz w:val="1"/>
                <w:szCs w:val="1"/>
                <w:color w:val="auto"/>
              </w:rPr>
            </w:pPr>
          </w:p>
        </w:tc>
      </w:tr>
      <w:tr>
        <w:trPr>
          <w:trHeight w:val="175"/>
        </w:trPr>
        <w:tc>
          <w:tcPr>
            <w:tcW w:w="2040" w:type="dxa"/>
            <w:vAlign w:val="bottom"/>
          </w:tcPr>
          <w:p>
            <w:pPr>
              <w:ind w:left="360"/>
              <w:spacing w:after="0" w:line="175" w:lineRule="exact"/>
              <w:rPr>
                <w:sz w:val="20"/>
                <w:szCs w:val="20"/>
                <w:color w:val="auto"/>
              </w:rPr>
            </w:pPr>
            <w:r>
              <w:rPr>
                <w:rFonts w:ascii="Arial" w:cs="Arial" w:eastAsia="Arial" w:hAnsi="Arial"/>
                <w:sz w:val="13"/>
                <w:szCs w:val="13"/>
                <w:color w:val="auto"/>
              </w:rPr>
              <w:t>collateral</w:t>
            </w:r>
            <w:r>
              <w:rPr>
                <w:rFonts w:ascii="Arial" w:cs="Arial" w:eastAsia="Arial" w:hAnsi="Arial"/>
                <w:sz w:val="16"/>
                <w:szCs w:val="16"/>
                <w:color w:val="auto"/>
                <w:vertAlign w:val="superscript"/>
              </w:rPr>
              <w:t>(g)(h)</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480"/>
              <w:spacing w:after="0" w:line="115" w:lineRule="exact"/>
              <w:rPr>
                <w:sz w:val="20"/>
                <w:szCs w:val="20"/>
                <w:color w:val="auto"/>
              </w:rPr>
            </w:pPr>
            <w:r>
              <w:rPr>
                <w:rFonts w:ascii="Arial" w:cs="Arial" w:eastAsia="Arial" w:hAnsi="Arial"/>
                <w:sz w:val="13"/>
                <w:szCs w:val="13"/>
                <w:color w:val="auto"/>
              </w:rPr>
              <w:t>Mark-to-market derivative</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1,697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2,066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3,629</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assets subtotal</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40" w:type="dxa"/>
            <w:vAlign w:val="bottom"/>
          </w:tcPr>
          <w:p>
            <w:pPr>
              <w:ind w:left="20"/>
              <w:spacing w:after="0"/>
              <w:rPr>
                <w:sz w:val="20"/>
                <w:szCs w:val="20"/>
                <w:color w:val="auto"/>
              </w:rPr>
            </w:pPr>
            <w:r>
              <w:rPr>
                <w:rFonts w:ascii="Arial" w:cs="Arial" w:eastAsia="Arial" w:hAnsi="Arial"/>
                <w:sz w:val="13"/>
                <w:szCs w:val="13"/>
                <w:color w:val="auto"/>
              </w:rPr>
              <w:t>DPP consideration</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1,239</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1,239</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w:t>
            </w:r>
          </w:p>
        </w:tc>
        <w:tc>
          <w:tcPr>
            <w:tcW w:w="0" w:type="dxa"/>
            <w:vAlign w:val="bottom"/>
          </w:tcPr>
          <w:p>
            <w:pPr>
              <w:spacing w:after="0"/>
              <w:rPr>
                <w:sz w:val="1"/>
                <w:szCs w:val="1"/>
                <w:color w:val="auto"/>
              </w:rPr>
            </w:pPr>
          </w:p>
        </w:tc>
      </w:tr>
      <w:tr>
        <w:trPr>
          <w:trHeight w:val="175"/>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7,080</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5,100</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19,577</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18,554</w:t>
            </w: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Mark-to-market derivative liabilities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360"/>
              <w:spacing w:after="0"/>
              <w:rPr>
                <w:sz w:val="20"/>
                <w:szCs w:val="20"/>
                <w:color w:val="auto"/>
              </w:rPr>
            </w:pPr>
            <w:r>
              <w:rPr>
                <w:rFonts w:ascii="Arial" w:cs="Arial" w:eastAsia="Arial" w:hAnsi="Arial"/>
                <w:sz w:val="13"/>
                <w:szCs w:val="13"/>
                <w:color w:val="auto"/>
              </w:rPr>
              <w:t>Economic hedges</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(2,176)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(6,666)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(4,046)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(12,888)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(3,171)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(20,257)</w:t>
            </w:r>
          </w:p>
        </w:tc>
        <w:tc>
          <w:tcPr>
            <w:tcW w:w="0" w:type="dxa"/>
            <w:vAlign w:val="bottom"/>
          </w:tcPr>
          <w:p>
            <w:pPr>
              <w:spacing w:after="0"/>
              <w:rPr>
                <w:sz w:val="1"/>
                <w:szCs w:val="1"/>
                <w:color w:val="auto"/>
              </w:rPr>
            </w:pPr>
          </w:p>
        </w:tc>
      </w:tr>
      <w:tr>
        <w:trPr>
          <w:trHeight w:val="29"/>
        </w:trPr>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Proprietary trading</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21"/>
        </w:trPr>
        <w:tc>
          <w:tcPr>
            <w:tcW w:w="2040" w:type="dxa"/>
            <w:vAlign w:val="bottom"/>
          </w:tcPr>
          <w:p>
            <w:pPr>
              <w:ind w:left="360"/>
              <w:spacing w:after="0" w:line="122" w:lineRule="exact"/>
              <w:rPr>
                <w:sz w:val="20"/>
                <w:szCs w:val="20"/>
                <w:color w:val="auto"/>
              </w:rPr>
            </w:pPr>
            <w:r>
              <w:rPr>
                <w:rFonts w:ascii="Arial" w:cs="Arial" w:eastAsia="Arial" w:hAnsi="Arial"/>
                <w:sz w:val="13"/>
                <w:szCs w:val="13"/>
                <w:color w:val="auto"/>
              </w:rPr>
              <w:t>Effect of netting and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360"/>
              <w:spacing w:after="0" w:line="123" w:lineRule="exact"/>
              <w:rPr>
                <w:sz w:val="20"/>
                <w:szCs w:val="20"/>
                <w:color w:val="auto"/>
              </w:rPr>
            </w:pPr>
            <w:r>
              <w:rPr>
                <w:rFonts w:ascii="Arial" w:cs="Arial" w:eastAsia="Arial" w:hAnsi="Arial"/>
                <w:sz w:val="13"/>
                <w:szCs w:val="13"/>
                <w:color w:val="auto"/>
              </w:rPr>
              <w:t>allocation of</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5,767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3,002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11,100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3,279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10,700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3,743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17,722</w:t>
            </w:r>
          </w:p>
        </w:tc>
        <w:tc>
          <w:tcPr>
            <w:tcW w:w="0" w:type="dxa"/>
            <w:vAlign w:val="bottom"/>
          </w:tcPr>
          <w:p>
            <w:pPr>
              <w:spacing w:after="0"/>
              <w:rPr>
                <w:sz w:val="1"/>
                <w:szCs w:val="1"/>
                <w:color w:val="auto"/>
              </w:rPr>
            </w:pPr>
          </w:p>
        </w:tc>
      </w:tr>
      <w:tr>
        <w:trPr>
          <w:trHeight w:val="175"/>
        </w:trPr>
        <w:tc>
          <w:tcPr>
            <w:tcW w:w="2040" w:type="dxa"/>
            <w:vAlign w:val="bottom"/>
          </w:tcPr>
          <w:p>
            <w:pPr>
              <w:ind w:left="360"/>
              <w:spacing w:after="0" w:line="175" w:lineRule="exact"/>
              <w:rPr>
                <w:sz w:val="20"/>
                <w:szCs w:val="20"/>
                <w:color w:val="auto"/>
              </w:rPr>
            </w:pPr>
            <w:r>
              <w:rPr>
                <w:rFonts w:ascii="Arial" w:cs="Arial" w:eastAsia="Arial" w:hAnsi="Arial"/>
                <w:sz w:val="13"/>
                <w:szCs w:val="13"/>
                <w:color w:val="auto"/>
              </w:rPr>
              <w:t>collateral</w:t>
            </w:r>
            <w:r>
              <w:rPr>
                <w:rFonts w:ascii="Arial" w:cs="Arial" w:eastAsia="Arial" w:hAnsi="Arial"/>
                <w:sz w:val="16"/>
                <w:szCs w:val="16"/>
                <w:color w:val="auto"/>
                <w:vertAlign w:val="superscript"/>
              </w:rPr>
              <w:t>(g)(h)</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40" w:type="dxa"/>
            <w:vAlign w:val="bottom"/>
            <w:shd w:val="clear" w:color="auto" w:fill="CCEEFF"/>
          </w:tcPr>
          <w:p>
            <w:pPr>
              <w:ind w:left="480"/>
              <w:spacing w:after="0" w:line="115" w:lineRule="exact"/>
              <w:rPr>
                <w:sz w:val="20"/>
                <w:szCs w:val="20"/>
                <w:color w:val="auto"/>
              </w:rPr>
            </w:pPr>
            <w:r>
              <w:rPr>
                <w:rFonts w:ascii="Arial" w:cs="Arial" w:eastAsia="Arial" w:hAnsi="Arial"/>
                <w:sz w:val="13"/>
                <w:szCs w:val="13"/>
                <w:color w:val="auto"/>
              </w:rPr>
              <w:t>Mark-to-market derivative</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(901)</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(1,792)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(1,847)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(2,541)</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liabilities subtotal</w:t>
            </w: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3"/>
                <w:szCs w:val="13"/>
                <w:color w:val="auto"/>
              </w:rPr>
              <w:t>Deferred compensation obligation</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(2,598)</w:t>
            </w: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Total net assets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7,235</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1,073</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5,278</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17,728</w:t>
            </w:r>
          </w:p>
        </w:tc>
        <w:tc>
          <w:tcPr>
            <w:tcW w:w="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3,322</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15,956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Note 12 — Fair Value of Financial Assets and Liabilities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p>
    <w:p>
      <w:pPr>
        <w:jc w:val="both"/>
        <w:ind w:left="340" w:hanging="332"/>
        <w:spacing w:after="0" w:line="26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CEG Parent has $40 million and $49 million of Level 1 cash equivalents as of June 30, 2023 and December 31, 2022, respectively. We exclude cash of $255 million and $390 million as of June 30, 2023 and December 31, 2022, respectively, and restricted cash of $29 million and $70 million as of June 30, 2023 and December 31, 2022, respectively. CEG Parent excludes an additional $1 million and $19 million of cash as of June 30, 2023 and December 31, 2022, respectively.</w:t>
      </w:r>
    </w:p>
    <w:p>
      <w:pPr>
        <w:ind w:left="340" w:hanging="332"/>
        <w:spacing w:after="0" w:line="253"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$115 million and $99 million of cash received from outstanding repurchase agreements as of June 30, 2023 and December 31, 2022, respectively, and is offset by an obligation to repay upon settlement of the agreement as discussed in (e) below.</w:t>
      </w:r>
    </w:p>
    <w:p>
      <w:pPr>
        <w:spacing w:after="0" w:line="1" w:lineRule="exact"/>
        <w:rPr>
          <w:rFonts w:ascii="Arial" w:cs="Arial" w:eastAsia="Arial" w:hAnsi="Arial"/>
          <w:sz w:val="14"/>
          <w:szCs w:val="14"/>
          <w:color w:val="auto"/>
        </w:rPr>
      </w:pPr>
    </w:p>
    <w:p>
      <w:pPr>
        <w:ind w:left="340" w:hanging="332"/>
        <w:spacing w:after="0" w:line="259"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investments in equities sold short of ($40) million and ($45) million as of June 30, 2023 and December 31, 2022, respectively, held in an investment vehicle primarily to hedge the equity option component of convertible debt.</w:t>
      </w:r>
    </w:p>
    <w:p>
      <w:pPr>
        <w:jc w:val="both"/>
        <w:ind w:left="340" w:hanging="332"/>
        <w:spacing w:after="0" w:line="25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net derivative assets of $1 million and net derivative liabilities of $1 million, which have total notional amounts of $600 million and $494 million as of June 30, 2023 and December 31, 2022, respectively. The notional principal amounts for these instruments provide one measure of the transaction volume outstanding as of the periods ended and do not represent the amount of our exposure to credit or market loss.</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Excludes net liabilities of $124 million and $168 million as of June 30, 2023 and December 31, 2022, respectively, which include certain derivative assets that have notional amounts of $156 million and $59 million as of June 30, 2023 and December 31, 2022, respectively. These items consist of receivables related to pending securities sales, interest and dividend receivables, repurchase agreement obligations, and payables related to pending securities purchases. The repurchase agreements are generally short-term in nature with durations generally of 30 days or less.</w:t>
      </w:r>
    </w:p>
    <w:p>
      <w:pPr>
        <w:spacing w:after="0" w:line="1"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an equity investment that became publicly traded in the second quarter of 2023 and now has a readily determinable fair value (and no longer is accounted for as an equity method investment due to lack of significant influence). We recorded the fair value of this investment in Investments on the Consolidated Balance Sheets based on the quoted market price of the stock at June 30, 2023, which resulted in an unrealized gain of $419 million within Other, net in the Consolidated Statements of Operations and Comprehensive Income for the three and six months ended June 30, 2023.</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collateral posted to counterparties totaled $394 million, $668 million, and $324 million allocated to Level 1, Level 2, and Level 3 mark-to-market derivatives, respectively, as of June 30, 2023. Net collateral posted to counterparties totaled $328 million, $352 million, and $218 million allocated to Level 1, Level 2, and Level 3 mark-to-market derivatives, respectively, as of December 31, 2022.</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$654 million of variation margin posted and $836 million of variation margin held from the exchanges as of June 30, 2023 and December 31, 2022, respectively.</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of June 30, 2023, we have outstanding commitments to invest in private credit, private equity, and real estate investments of $225 million, $104 million, and $328 million, respectively. These commitments will be funded by our existing NDT funds.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hold investments without readily determinable fair values with carrying amounts of $89 million and $46 million as of June 30, 2023 and December 31, 2022, respectively. Changes in fair value, cumulative adjustments, and impairments were not material for the three months ended June 30, 2023 and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Note 12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Level 3 Assets and Liabilities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tables present the fair value reconciliation of Level 3 assets and liabilities measured at fair value on a recurring basis during the three and six months ended June 30,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b w:val="1"/>
                <w:bCs w:val="1"/>
                <w:color w:val="auto"/>
              </w:rPr>
              <w:t>For the Three Months Ended June 30, 2023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42"/>
              <w:spacing w:after="0"/>
              <w:rPr>
                <w:sz w:val="20"/>
                <w:szCs w:val="20"/>
                <w:color w:val="auto"/>
              </w:rPr>
            </w:pPr>
            <w:r>
              <w:rPr>
                <w:rFonts w:ascii="Arial" w:cs="Arial" w:eastAsia="Arial" w:hAnsi="Arial"/>
                <w:sz w:val="13"/>
                <w:szCs w:val="13"/>
                <w:b w:val="1"/>
                <w:bCs w:val="1"/>
                <w:color w:val="auto"/>
                <w:w w:val="96"/>
              </w:rPr>
              <w:t>NDT Fund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Mark-to-Market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Life Insurance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4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4"/>
              </w:rPr>
              <w:t>Investments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7"/>
              </w:rPr>
              <w:t>Derivatives</w:t>
            </w:r>
          </w:p>
        </w:tc>
        <w:tc>
          <w:tcPr>
            <w:tcW w:w="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5"/>
              </w:rPr>
              <w:t>Contracts</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April 1, 2023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Total realized / unrealized gains (losses)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Included in net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5"/>
            <w:shd w:val="clear" w:color="auto" w:fill="CCEEFF"/>
          </w:tcPr>
          <w:p>
            <w:pPr>
              <w:jc w:val="right"/>
              <w:ind w:right="299"/>
              <w:spacing w:after="0"/>
              <w:rPr>
                <w:sz w:val="20"/>
                <w:szCs w:val="20"/>
                <w:color w:val="auto"/>
              </w:rPr>
            </w:pPr>
            <w:r>
              <w:rPr>
                <w:rFonts w:ascii="Arial" w:cs="Arial" w:eastAsia="Arial" w:hAnsi="Arial"/>
                <w:sz w:val="16"/>
                <w:szCs w:val="16"/>
                <w:color w:val="auto"/>
              </w:rPr>
              <w:t xml:space="preserve">(245) </w:t>
            </w:r>
            <w:r>
              <w:rPr>
                <w:rFonts w:ascii="Arial" w:cs="Arial" w:eastAsia="Arial" w:hAnsi="Arial"/>
                <w:sz w:val="9"/>
                <w:szCs w:val="9"/>
                <w:color w:val="auto"/>
              </w:rPr>
              <w:t>(a)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Included in Payable related to Regulatory Agreement Units</w:t>
            </w:r>
          </w:p>
        </w:tc>
        <w:tc>
          <w:tcPr>
            <w:tcW w:w="2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collateral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Purchases, sales, issuances and settlements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6"/>
                <w:szCs w:val="16"/>
                <w:color w:val="auto"/>
              </w:rPr>
              <w:t>Sales</w:t>
            </w:r>
          </w:p>
        </w:tc>
        <w:tc>
          <w:tcPr>
            <w:tcW w:w="2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Settlements</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Transfers into Level 3</w:t>
            </w:r>
          </w:p>
        </w:tc>
        <w:tc>
          <w:tcPr>
            <w:tcW w:w="2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jc w:val="right"/>
              <w:ind w:right="299"/>
              <w:spacing w:after="0"/>
              <w:rPr>
                <w:sz w:val="20"/>
                <w:szCs w:val="20"/>
                <w:color w:val="auto"/>
              </w:rPr>
            </w:pPr>
            <w:r>
              <w:rPr>
                <w:rFonts w:ascii="Arial" w:cs="Arial" w:eastAsia="Arial" w:hAnsi="Arial"/>
                <w:sz w:val="16"/>
                <w:szCs w:val="16"/>
                <w:color w:val="auto"/>
              </w:rPr>
              <w:t xml:space="preserve">67 </w:t>
            </w:r>
            <w:r>
              <w:rPr>
                <w:rFonts w:ascii="Arial" w:cs="Arial" w:eastAsia="Arial" w:hAnsi="Arial"/>
                <w:sz w:val="9"/>
                <w:szCs w:val="9"/>
                <w:color w:val="auto"/>
              </w:rPr>
              <w:t>(b)</w:t>
            </w: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Transfers out of Level 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5"/>
            <w:shd w:val="clear" w:color="auto" w:fill="CCEEFF"/>
          </w:tcPr>
          <w:p>
            <w:pPr>
              <w:jc w:val="right"/>
              <w:ind w:right="299"/>
              <w:spacing w:after="0" w:line="218" w:lineRule="exact"/>
              <w:rPr>
                <w:sz w:val="20"/>
                <w:szCs w:val="20"/>
                <w:color w:val="auto"/>
              </w:rPr>
            </w:pPr>
            <w:r>
              <w:rPr>
                <w:rFonts w:ascii="Arial" w:cs="Arial" w:eastAsia="Arial" w:hAnsi="Arial"/>
                <w:sz w:val="25"/>
                <w:szCs w:val="25"/>
                <w:color w:val="auto"/>
                <w:vertAlign w:val="subscript"/>
              </w:rPr>
              <w:t>(6)</w:t>
            </w:r>
            <w:r>
              <w:rPr>
                <w:rFonts w:ascii="Arial" w:cs="Arial" w:eastAsia="Arial" w:hAnsi="Arial"/>
                <w:sz w:val="8"/>
                <w:szCs w:val="8"/>
                <w:color w:val="auto"/>
              </w:rPr>
              <w:t xml:space="preserve"> (b)</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516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2023</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1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5"/>
                <w:szCs w:val="15"/>
                <w:color w:val="auto"/>
              </w:rPr>
              <w:t>The amount of total gains (losses) included in income attributed to the</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1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change in unrealized gains (losses) related to assets and liabilities as</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4"/>
                <w:szCs w:val="14"/>
                <w:color w:val="auto"/>
              </w:rPr>
            </w:pPr>
          </w:p>
        </w:tc>
        <w:tc>
          <w:tcPr>
            <w:tcW w:w="5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gridSpan w:val="3"/>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 June 30, 2023</w:t>
            </w:r>
          </w:p>
        </w:tc>
        <w:tc>
          <w:tcPr>
            <w:tcW w:w="2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b w:val="1"/>
                <w:bCs w:val="1"/>
                <w:color w:val="auto"/>
              </w:rPr>
              <w:t>For the Three Months Ended June 30, 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center"/>
              <w:ind w:right="142"/>
              <w:spacing w:after="0" w:line="115" w:lineRule="exact"/>
              <w:rPr>
                <w:sz w:val="20"/>
                <w:szCs w:val="20"/>
                <w:color w:val="auto"/>
              </w:rPr>
            </w:pPr>
            <w:r>
              <w:rPr>
                <w:rFonts w:ascii="Arial" w:cs="Arial" w:eastAsia="Arial" w:hAnsi="Arial"/>
                <w:sz w:val="13"/>
                <w:szCs w:val="13"/>
                <w:b w:val="1"/>
                <w:bCs w:val="1"/>
                <w:color w:val="auto"/>
                <w:w w:val="96"/>
              </w:rPr>
              <w:t>NDT Fund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98"/>
              </w:rPr>
              <w:t>Mark-to-Market</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Life Insurance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61"/>
              <w:spacing w:after="0"/>
              <w:rPr>
                <w:sz w:val="20"/>
                <w:szCs w:val="20"/>
                <w:color w:val="auto"/>
              </w:rPr>
            </w:pPr>
            <w:r>
              <w:rPr>
                <w:rFonts w:ascii="Arial" w:cs="Arial" w:eastAsia="Arial" w:hAnsi="Arial"/>
                <w:sz w:val="13"/>
                <w:szCs w:val="13"/>
                <w:b w:val="1"/>
                <w:bCs w:val="1"/>
                <w:color w:val="auto"/>
              </w:rPr>
              <w:t>Total</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4"/>
              </w:rPr>
              <w:t>Investments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7"/>
              </w:rPr>
              <w:t>Derivatives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Contracts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April 1, 2022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Arial" w:cs="Arial" w:eastAsia="Arial" w:hAnsi="Arial"/>
                <w:sz w:val="16"/>
                <w:szCs w:val="16"/>
                <w:color w:val="auto"/>
              </w:rPr>
              <w:t>Total realized / unrealized (losses) gains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Included in net income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204</w:t>
            </w:r>
          </w:p>
        </w:tc>
        <w:tc>
          <w:tcPr>
            <w:tcW w:w="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319"/>
              <w:spacing w:after="0"/>
              <w:rPr>
                <w:sz w:val="20"/>
                <w:szCs w:val="20"/>
                <w:color w:val="auto"/>
              </w:rPr>
            </w:pPr>
            <w:r>
              <w:rPr>
                <w:rFonts w:ascii="Arial" w:cs="Arial" w:eastAsia="Arial" w:hAnsi="Arial"/>
                <w:sz w:val="8"/>
                <w:szCs w:val="8"/>
                <w:color w:val="auto"/>
                <w:w w:val="81"/>
              </w:rPr>
              <w:t>(a)</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6"/>
                <w:szCs w:val="16"/>
                <w:color w:val="auto"/>
              </w:rPr>
              <w:t>Included in Payable related to Regulatory Agreement Units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collateral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Arial" w:cs="Arial" w:eastAsia="Arial" w:hAnsi="Arial"/>
                <w:sz w:val="16"/>
                <w:szCs w:val="16"/>
                <w:color w:val="auto"/>
              </w:rPr>
              <w:t>Purchases, sales, issuances and settlements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ind w:left="360"/>
              <w:spacing w:after="0"/>
              <w:rPr>
                <w:sz w:val="20"/>
                <w:szCs w:val="20"/>
                <w:color w:val="auto"/>
              </w:rPr>
            </w:pPr>
            <w:r>
              <w:rPr>
                <w:rFonts w:ascii="Arial" w:cs="Arial" w:eastAsia="Arial" w:hAnsi="Arial"/>
                <w:sz w:val="16"/>
                <w:szCs w:val="16"/>
                <w:color w:val="auto"/>
              </w:rPr>
              <w:t>Sales</w:t>
            </w:r>
          </w:p>
        </w:tc>
        <w:tc>
          <w:tcPr>
            <w:tcW w:w="2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Arial" w:cs="Arial" w:eastAsia="Arial" w:hAnsi="Arial"/>
                <w:sz w:val="16"/>
                <w:szCs w:val="16"/>
                <w:color w:val="auto"/>
              </w:rPr>
              <w:t>Transfers into Level 3</w:t>
            </w:r>
          </w:p>
        </w:tc>
        <w:tc>
          <w:tcPr>
            <w:tcW w:w="22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5"/>
          </w:tcPr>
          <w:p>
            <w:pPr>
              <w:jc w:val="right"/>
              <w:ind w:right="319"/>
              <w:spacing w:after="0"/>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color w:val="auto"/>
                <w:vertAlign w:val="superscript"/>
              </w:rPr>
              <w:t>(b)</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 out of Level 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5"/>
            <w:shd w:val="clear" w:color="auto" w:fill="CCEEFF"/>
          </w:tcPr>
          <w:p>
            <w:pPr>
              <w:jc w:val="right"/>
              <w:ind w:right="319"/>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8"/>
                <w:szCs w:val="8"/>
                <w:color w:val="auto"/>
              </w:rPr>
              <w:t>(b)</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Arial" w:cs="Arial" w:eastAsia="Arial" w:hAnsi="Arial"/>
                <w:sz w:val="16"/>
                <w:szCs w:val="16"/>
                <w:color w:val="auto"/>
              </w:rPr>
              <w:t>Balance as of June 30, 2022</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 w:type="dxa"/>
            <w:vAlign w:val="bottom"/>
          </w:tcPr>
          <w:p>
            <w:pPr>
              <w:spacing w:after="0"/>
              <w:rPr>
                <w:sz w:val="11"/>
                <w:szCs w:val="11"/>
                <w:color w:val="auto"/>
              </w:rPr>
            </w:pPr>
          </w:p>
        </w:tc>
        <w:tc>
          <w:tcPr>
            <w:tcW w:w="5120" w:type="dxa"/>
            <w:vAlign w:val="bottom"/>
            <w:shd w:val="clear" w:color="auto" w:fill="CCEEFF"/>
          </w:tcPr>
          <w:p>
            <w:pPr>
              <w:ind w:left="40"/>
              <w:spacing w:after="0" w:line="133" w:lineRule="exact"/>
              <w:rPr>
                <w:sz w:val="20"/>
                <w:szCs w:val="20"/>
                <w:color w:val="auto"/>
              </w:rPr>
            </w:pPr>
            <w:r>
              <w:rPr>
                <w:rFonts w:ascii="Arial" w:cs="Arial" w:eastAsia="Arial" w:hAnsi="Arial"/>
                <w:sz w:val="15"/>
                <w:szCs w:val="15"/>
                <w:color w:val="auto"/>
              </w:rPr>
              <w:t>The amount of total (losses) gains included in income attributed to the</w:t>
            </w: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120" w:type="dxa"/>
            <w:vAlign w:val="bottom"/>
            <w:shd w:val="clear" w:color="auto" w:fill="CCEEFF"/>
          </w:tcPr>
          <w:p>
            <w:pPr>
              <w:ind w:left="40"/>
              <w:spacing w:after="0" w:line="162" w:lineRule="exact"/>
              <w:rPr>
                <w:sz w:val="20"/>
                <w:szCs w:val="20"/>
                <w:color w:val="auto"/>
              </w:rPr>
            </w:pPr>
            <w:r>
              <w:rPr>
                <w:rFonts w:ascii="Arial" w:cs="Arial" w:eastAsia="Arial" w:hAnsi="Arial"/>
                <w:sz w:val="16"/>
                <w:szCs w:val="16"/>
                <w:color w:val="auto"/>
              </w:rPr>
              <w:t>change in unrealized (losses) gains related to assets and liabilities as</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48</w:t>
            </w:r>
          </w:p>
        </w:tc>
        <w:tc>
          <w:tcPr>
            <w:tcW w:w="20" w:type="dxa"/>
            <w:vAlign w:val="bottom"/>
            <w:shd w:val="clear" w:color="auto" w:fill="CCEEFF"/>
          </w:tcPr>
          <w:p>
            <w:pPr>
              <w:spacing w:after="0"/>
              <w:rPr>
                <w:sz w:val="14"/>
                <w:szCs w:val="14"/>
                <w:color w:val="auto"/>
              </w:rPr>
            </w:pPr>
          </w:p>
        </w:tc>
        <w:tc>
          <w:tcPr>
            <w:tcW w:w="500" w:type="dxa"/>
            <w:vAlign w:val="bottom"/>
            <w:gridSpan w:val="3"/>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420" w:type="dxa"/>
            <w:vAlign w:val="bottom"/>
            <w:gridSpan w:val="3"/>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 June 30, 2022</w:t>
            </w:r>
          </w:p>
        </w:tc>
        <w:tc>
          <w:tcPr>
            <w:tcW w:w="2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Note 12 — Fair Value of Financial Assets and Liabilities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5"/>
          </w:tcPr>
          <w:p>
            <w:pPr>
              <w:jc w:val="right"/>
              <w:ind w:right="282"/>
              <w:spacing w:after="0"/>
              <w:rPr>
                <w:sz w:val="20"/>
                <w:szCs w:val="20"/>
                <w:color w:val="auto"/>
              </w:rPr>
            </w:pPr>
            <w:r>
              <w:rPr>
                <w:rFonts w:ascii="Arial" w:cs="Arial" w:eastAsia="Arial" w:hAnsi="Arial"/>
                <w:sz w:val="13"/>
                <w:szCs w:val="13"/>
                <w:b w:val="1"/>
                <w:bCs w:val="1"/>
                <w:color w:val="auto"/>
              </w:rPr>
              <w:t>For the Six Months Ended June 30, 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42"/>
              <w:spacing w:after="0"/>
              <w:rPr>
                <w:sz w:val="20"/>
                <w:szCs w:val="20"/>
                <w:color w:val="auto"/>
              </w:rPr>
            </w:pPr>
            <w:r>
              <w:rPr>
                <w:rFonts w:ascii="Arial" w:cs="Arial" w:eastAsia="Arial" w:hAnsi="Arial"/>
                <w:sz w:val="13"/>
                <w:szCs w:val="13"/>
                <w:b w:val="1"/>
                <w:bCs w:val="1"/>
                <w:color w:val="auto"/>
                <w:w w:val="96"/>
              </w:rPr>
              <w:t>NDT Fund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Mark-to-Market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02"/>
              <w:spacing w:after="0"/>
              <w:rPr>
                <w:sz w:val="20"/>
                <w:szCs w:val="20"/>
                <w:color w:val="auto"/>
              </w:rPr>
            </w:pPr>
            <w:r>
              <w:rPr>
                <w:rFonts w:ascii="Arial" w:cs="Arial" w:eastAsia="Arial" w:hAnsi="Arial"/>
                <w:sz w:val="13"/>
                <w:szCs w:val="13"/>
                <w:b w:val="1"/>
                <w:bCs w:val="1"/>
                <w:color w:val="auto"/>
                <w:w w:val="97"/>
              </w:rPr>
              <w:t>Life Insurance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4"/>
              </w:rPr>
              <w:t>Investments</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7"/>
              </w:rPr>
              <w:t>Derivatives</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5"/>
              </w:rPr>
              <w:t>Contracts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 2023</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Total realized / unrealized gains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Included in net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9"/>
              <w:spacing w:after="0"/>
              <w:rPr>
                <w:sz w:val="20"/>
                <w:szCs w:val="20"/>
                <w:color w:val="auto"/>
              </w:rPr>
            </w:pPr>
            <w:r>
              <w:rPr>
                <w:rFonts w:ascii="Arial" w:cs="Arial" w:eastAsia="Arial" w:hAnsi="Arial"/>
                <w:sz w:val="9"/>
                <w:szCs w:val="9"/>
                <w:color w:val="auto"/>
                <w:w w:val="90"/>
              </w:rPr>
              <w:t>(a)</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Included in Payable related to Regulatory Agreement Units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collateral</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Purchases, sales, issuances and settlements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Sales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6"/>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Transfers into Level 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8"/>
                <w:szCs w:val="18"/>
                <w:color w:val="auto"/>
              </w:rPr>
            </w:pPr>
          </w:p>
        </w:tc>
        <w:tc>
          <w:tcPr>
            <w:tcW w:w="500" w:type="dxa"/>
            <w:vAlign w:val="bottom"/>
            <w:gridSpan w:val="2"/>
          </w:tcPr>
          <w:p>
            <w:pPr>
              <w:jc w:val="right"/>
              <w:ind w:right="299"/>
              <w:spacing w:after="0"/>
              <w:rPr>
                <w:sz w:val="20"/>
                <w:szCs w:val="20"/>
                <w:color w:val="auto"/>
              </w:rPr>
            </w:pPr>
            <w:r>
              <w:rPr>
                <w:rFonts w:ascii="Arial" w:cs="Arial" w:eastAsia="Arial" w:hAnsi="Arial"/>
                <w:sz w:val="9"/>
                <w:szCs w:val="9"/>
                <w:color w:val="auto"/>
                <w:w w:val="90"/>
              </w:rPr>
              <w:t>(b)</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out of Level 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9"/>
                <w:szCs w:val="9"/>
                <w:color w:val="auto"/>
              </w:rPr>
              <w:t>(b)</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16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The amount of total gains included in income attributed to the change</w:t>
            </w:r>
          </w:p>
        </w:tc>
        <w:tc>
          <w:tcPr>
            <w:tcW w:w="22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2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 unrealized gains related to assets and liabilities as of June 30, 2023</w:t>
            </w:r>
          </w:p>
        </w:tc>
        <w:tc>
          <w:tcPr>
            <w:tcW w:w="22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tcPr>
          <w:p>
            <w:pPr>
              <w:jc w:val="right"/>
              <w:ind w:right="262"/>
              <w:spacing w:after="0"/>
              <w:rPr>
                <w:sz w:val="20"/>
                <w:szCs w:val="20"/>
                <w:color w:val="auto"/>
              </w:rPr>
            </w:pPr>
            <w:r>
              <w:rPr>
                <w:rFonts w:ascii="Arial" w:cs="Arial" w:eastAsia="Arial" w:hAnsi="Arial"/>
                <w:sz w:val="13"/>
                <w:szCs w:val="13"/>
                <w:b w:val="1"/>
                <w:bCs w:val="1"/>
                <w:color w:val="auto"/>
              </w:rPr>
              <w:t>For the Six Months Ended June 30, 2022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42"/>
              <w:spacing w:after="0"/>
              <w:rPr>
                <w:sz w:val="20"/>
                <w:szCs w:val="20"/>
                <w:color w:val="auto"/>
              </w:rPr>
            </w:pPr>
            <w:r>
              <w:rPr>
                <w:rFonts w:ascii="Arial" w:cs="Arial" w:eastAsia="Arial" w:hAnsi="Arial"/>
                <w:sz w:val="13"/>
                <w:szCs w:val="13"/>
                <w:b w:val="1"/>
                <w:bCs w:val="1"/>
                <w:color w:val="auto"/>
                <w:w w:val="96"/>
              </w:rPr>
              <w:t>NDT Fund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Mark-to-Market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02"/>
              <w:spacing w:after="0"/>
              <w:rPr>
                <w:sz w:val="20"/>
                <w:szCs w:val="20"/>
                <w:color w:val="auto"/>
              </w:rPr>
            </w:pPr>
            <w:r>
              <w:rPr>
                <w:rFonts w:ascii="Arial" w:cs="Arial" w:eastAsia="Arial" w:hAnsi="Arial"/>
                <w:sz w:val="13"/>
                <w:szCs w:val="13"/>
                <w:b w:val="1"/>
                <w:bCs w:val="1"/>
                <w:color w:val="auto"/>
                <w:w w:val="97"/>
              </w:rPr>
              <w:t>Life Insurance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7"/>
              </w:rPr>
              <w:t>Investments</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97"/>
              </w:rPr>
              <w:t>Derivatives</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5"/>
              </w:rPr>
              <w:t>Contracts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 2022</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Total realized / unrealized losses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Included in net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color w:val="auto"/>
              </w:rPr>
              <w:t xml:space="preserve">(898) </w:t>
            </w:r>
            <w:r>
              <w:rPr>
                <w:rFonts w:ascii="Arial" w:cs="Arial" w:eastAsia="Arial" w:hAnsi="Arial"/>
                <w:sz w:val="9"/>
                <w:szCs w:val="9"/>
                <w:color w:val="auto"/>
              </w:rPr>
              <w:t>(a)</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Included in Payable related to Regulatory Agreement Units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collateral</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Impacts of separation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sales, issuances and settlements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Purchases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0"/>
        </w:trPr>
        <w:tc>
          <w:tcPr>
            <w:tcW w:w="5160" w:type="dxa"/>
            <w:vAlign w:val="bottom"/>
          </w:tcPr>
          <w:p>
            <w:pPr>
              <w:ind w:left="360"/>
              <w:spacing w:after="0"/>
              <w:rPr>
                <w:sz w:val="20"/>
                <w:szCs w:val="20"/>
                <w:color w:val="auto"/>
              </w:rPr>
            </w:pPr>
            <w:r>
              <w:rPr>
                <w:rFonts w:ascii="Arial" w:cs="Arial" w:eastAsia="Arial" w:hAnsi="Arial"/>
                <w:sz w:val="16"/>
                <w:szCs w:val="16"/>
                <w:color w:val="auto"/>
              </w:rPr>
              <w:t>Settlements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Transfers into Level 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99"/>
              <w:spacing w:after="0"/>
              <w:rPr>
                <w:sz w:val="20"/>
                <w:szCs w:val="20"/>
                <w:color w:val="auto"/>
              </w:rPr>
            </w:pPr>
            <w:r>
              <w:rPr>
                <w:rFonts w:ascii="Arial" w:cs="Arial" w:eastAsia="Arial" w:hAnsi="Arial"/>
                <w:sz w:val="9"/>
                <w:szCs w:val="9"/>
                <w:color w:val="auto"/>
                <w:w w:val="90"/>
              </w:rPr>
              <w:t>(b)</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Transfers out of Level 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4"/>
          </w:tcPr>
          <w:p>
            <w:pPr>
              <w:jc w:val="right"/>
              <w:ind w:right="299"/>
              <w:spacing w:after="0"/>
              <w:rPr>
                <w:sz w:val="20"/>
                <w:szCs w:val="20"/>
                <w:color w:val="auto"/>
              </w:rPr>
            </w:pPr>
            <w:r>
              <w:rPr>
                <w:rFonts w:ascii="Arial" w:cs="Arial" w:eastAsia="Arial" w:hAnsi="Arial"/>
                <w:sz w:val="16"/>
                <w:szCs w:val="16"/>
                <w:color w:val="auto"/>
              </w:rPr>
              <w:t xml:space="preserve">(13) </w:t>
            </w:r>
            <w:r>
              <w:rPr>
                <w:rFonts w:ascii="Arial" w:cs="Arial" w:eastAsia="Arial" w:hAnsi="Arial"/>
                <w:sz w:val="9"/>
                <w:szCs w:val="9"/>
                <w:color w:val="auto"/>
              </w:rPr>
              <w:t>(b)</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431</w:t>
            </w:r>
          </w:p>
        </w:tc>
        <w:tc>
          <w:tcPr>
            <w:tcW w:w="1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line="152" w:lineRule="exact"/>
              <w:rPr>
                <w:sz w:val="20"/>
                <w:szCs w:val="20"/>
                <w:color w:val="auto"/>
              </w:rPr>
            </w:pPr>
            <w:r>
              <w:rPr>
                <w:rFonts w:ascii="Arial" w:cs="Arial" w:eastAsia="Arial" w:hAnsi="Arial"/>
                <w:sz w:val="16"/>
                <w:szCs w:val="16"/>
                <w:color w:val="auto"/>
              </w:rPr>
              <w:t>The amount of total losses included in income attributed to the change</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160" w:type="dxa"/>
            <w:vAlign w:val="bottom"/>
            <w:vMerge w:val="continue"/>
          </w:tcPr>
          <w:p>
            <w:pPr>
              <w:spacing w:after="0"/>
              <w:rPr>
                <w:sz w:val="9"/>
                <w:szCs w:val="9"/>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3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(1,062)</w:t>
            </w:r>
          </w:p>
        </w:tc>
        <w:tc>
          <w:tcPr>
            <w:tcW w:w="2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44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 unrealized losses related to assets and liabilities as of June 30, 2022</w:t>
            </w:r>
          </w:p>
        </w:tc>
        <w:tc>
          <w:tcPr>
            <w:tcW w:w="2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jc w:val="both"/>
        <w:ind w:left="340" w:hanging="332"/>
        <w:spacing w:after="0" w:line="262"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 reduction of $239 million and $445 million for realized gains due to the settlement of derivative contracts for the three and six months ended June 30, 2023, respectively. Includes an addition of $126 million and $135 million for realized losses due to the settlement of derivative contracts for the three and six months ended June 30, 2022, respectively.</w:t>
      </w:r>
    </w:p>
    <w:p>
      <w:pPr>
        <w:ind w:left="340" w:hanging="332"/>
        <w:spacing w:after="0" w:line="283"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Transfers into and out of Level 3 generally occur when the contract tenor becomes less or more observable, respectively, primarily due to changes in market liquidity or assumptions for certain commodity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Note 12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tables present the income statement classification of the total realized and unrealized gains (losses) included in income for Level 3 assets and liabilities measured at fair value on a recurring basis during the three and six months ended June 30, 2023 and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For the Three Months Ended June 30,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3"/>
                <w:szCs w:val="13"/>
                <w:b w:val="1"/>
                <w:bCs w:val="1"/>
                <w:color w:val="auto"/>
              </w:rPr>
              <w:t>Operating</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center"/>
              <w:ind w:left="611"/>
              <w:spacing w:after="0" w:line="119" w:lineRule="exact"/>
              <w:rPr>
                <w:sz w:val="20"/>
                <w:szCs w:val="20"/>
                <w:color w:val="auto"/>
              </w:rPr>
            </w:pPr>
            <w:r>
              <w:rPr>
                <w:rFonts w:ascii="Arial" w:cs="Arial" w:eastAsia="Arial" w:hAnsi="Arial"/>
                <w:sz w:val="13"/>
                <w:szCs w:val="13"/>
                <w:b w:val="1"/>
                <w:bCs w:val="1"/>
                <w:color w:val="auto"/>
                <w:w w:val="96"/>
              </w:rPr>
              <w:t>Purchased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center"/>
              <w:ind w:left="611"/>
              <w:spacing w:after="0" w:line="127" w:lineRule="exact"/>
              <w:rPr>
                <w:sz w:val="20"/>
                <w:szCs w:val="20"/>
                <w:color w:val="auto"/>
              </w:rPr>
            </w:pPr>
            <w:r>
              <w:rPr>
                <w:rFonts w:ascii="Arial" w:cs="Arial" w:eastAsia="Arial" w:hAnsi="Arial"/>
                <w:sz w:val="13"/>
                <w:szCs w:val="13"/>
                <w:b w:val="1"/>
                <w:bCs w:val="1"/>
                <w:color w:val="auto"/>
                <w:w w:val="97"/>
              </w:rPr>
              <w:t>Power and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Other, net</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rPr>
              <w:t>Revenues</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591"/>
              <w:spacing w:after="0"/>
              <w:rPr>
                <w:sz w:val="20"/>
                <w:szCs w:val="20"/>
                <w:color w:val="auto"/>
              </w:rPr>
            </w:pPr>
            <w:r>
              <w:rPr>
                <w:rFonts w:ascii="Arial" w:cs="Arial" w:eastAsia="Arial" w:hAnsi="Arial"/>
                <w:sz w:val="13"/>
                <w:szCs w:val="13"/>
                <w:b w:val="1"/>
                <w:bCs w:val="1"/>
                <w:color w:val="auto"/>
                <w:w w:val="97"/>
              </w:rPr>
              <w:t>Fuel</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8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6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8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65"/>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(losses) gains included in net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394</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Total unrealized gains (losses)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89"/>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4"/>
          </w:tcPr>
          <w:p>
            <w:pPr>
              <w:jc w:val="center"/>
              <w:ind w:right="85"/>
              <w:spacing w:after="0"/>
              <w:rPr>
                <w:sz w:val="20"/>
                <w:szCs w:val="20"/>
                <w:color w:val="auto"/>
              </w:rPr>
            </w:pPr>
            <w:r>
              <w:rPr>
                <w:rFonts w:ascii="Arial" w:cs="Arial" w:eastAsia="Arial" w:hAnsi="Arial"/>
                <w:sz w:val="13"/>
                <w:szCs w:val="13"/>
                <w:b w:val="1"/>
                <w:bCs w:val="1"/>
                <w:color w:val="auto"/>
                <w:w w:val="97"/>
              </w:rPr>
              <w:t>For the Six Months Ended 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3"/>
            <w:vMerge w:val="restart"/>
          </w:tcPr>
          <w:p>
            <w:pPr>
              <w:ind w:left="640"/>
              <w:spacing w:after="0"/>
              <w:rPr>
                <w:sz w:val="20"/>
                <w:szCs w:val="20"/>
                <w:color w:val="auto"/>
              </w:rPr>
            </w:pPr>
            <w:r>
              <w:rPr>
                <w:rFonts w:ascii="Arial" w:cs="Arial" w:eastAsia="Arial" w:hAnsi="Arial"/>
                <w:sz w:val="13"/>
                <w:szCs w:val="13"/>
                <w:b w:val="1"/>
                <w:bCs w:val="1"/>
                <w:color w:val="auto"/>
              </w:rPr>
              <w:t>Operating</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center"/>
              <w:ind w:left="611"/>
              <w:spacing w:after="0" w:line="115" w:lineRule="exact"/>
              <w:rPr>
                <w:sz w:val="20"/>
                <w:szCs w:val="20"/>
                <w:color w:val="auto"/>
              </w:rPr>
            </w:pPr>
            <w:r>
              <w:rPr>
                <w:rFonts w:ascii="Arial" w:cs="Arial" w:eastAsia="Arial" w:hAnsi="Arial"/>
                <w:sz w:val="13"/>
                <w:szCs w:val="13"/>
                <w:b w:val="1"/>
                <w:bCs w:val="1"/>
                <w:color w:val="auto"/>
                <w:w w:val="96"/>
              </w:rPr>
              <w:t>Purchased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3"/>
          </w:tcPr>
          <w:p>
            <w:pPr>
              <w:jc w:val="center"/>
              <w:ind w:left="611"/>
              <w:spacing w:after="0" w:line="122" w:lineRule="exact"/>
              <w:rPr>
                <w:sz w:val="20"/>
                <w:szCs w:val="20"/>
                <w:color w:val="auto"/>
              </w:rPr>
            </w:pPr>
            <w:r>
              <w:rPr>
                <w:rFonts w:ascii="Arial" w:cs="Arial" w:eastAsia="Arial" w:hAnsi="Arial"/>
                <w:sz w:val="13"/>
                <w:szCs w:val="13"/>
                <w:b w:val="1"/>
                <w:bCs w:val="1"/>
                <w:color w:val="auto"/>
                <w:w w:val="97"/>
              </w:rPr>
              <w:t>Power and</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Other, net</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Revenues</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3"/>
                <w:szCs w:val="13"/>
                <w:b w:val="1"/>
                <w:bCs w:val="1"/>
                <w:color w:val="auto"/>
                <w:w w:val="97"/>
              </w:rPr>
              <w:t>Fuel</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7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8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7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6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88"/>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ind w:right="365"/>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gains (losses) included in 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color w:val="auto"/>
              </w:rPr>
              <w:t>Total unrealized gains (losses)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Mark-to-Market Derivatives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inputs to the forward curve used to value level 3 mark-to-market derivative positions: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Fair Value as of</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9"/>
        </w:trPr>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Fair Value as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2"/>
                <w:szCs w:val="12"/>
                <w:color w:val="auto"/>
              </w:rPr>
            </w:pPr>
          </w:p>
        </w:tc>
        <w:tc>
          <w:tcPr>
            <w:tcW w:w="1200" w:type="dxa"/>
            <w:vAlign w:val="bottom"/>
          </w:tcPr>
          <w:p>
            <w:pPr>
              <w:ind w:left="320"/>
              <w:spacing w:after="0"/>
              <w:rPr>
                <w:sz w:val="20"/>
                <w:szCs w:val="20"/>
                <w:color w:val="auto"/>
              </w:rPr>
            </w:pPr>
            <w:r>
              <w:rPr>
                <w:rFonts w:ascii="Arial" w:cs="Arial" w:eastAsia="Arial" w:hAnsi="Arial"/>
                <w:sz w:val="13"/>
                <w:szCs w:val="13"/>
                <w:b w:val="1"/>
                <w:bCs w:val="1"/>
                <w:color w:val="auto"/>
              </w:rPr>
              <w:t>Valuation</w:t>
            </w:r>
          </w:p>
        </w:tc>
        <w:tc>
          <w:tcPr>
            <w:tcW w:w="100" w:type="dxa"/>
            <w:vAlign w:val="bottom"/>
          </w:tcPr>
          <w:p>
            <w:pPr>
              <w:spacing w:after="0"/>
              <w:rPr>
                <w:sz w:val="12"/>
                <w:szCs w:val="12"/>
                <w:color w:val="auto"/>
              </w:rPr>
            </w:pPr>
          </w:p>
        </w:tc>
        <w:tc>
          <w:tcPr>
            <w:tcW w:w="1200" w:type="dxa"/>
            <w:vAlign w:val="bottom"/>
          </w:tcPr>
          <w:p>
            <w:pPr>
              <w:ind w:left="220"/>
              <w:spacing w:after="0"/>
              <w:rPr>
                <w:sz w:val="20"/>
                <w:szCs w:val="20"/>
                <w:color w:val="auto"/>
              </w:rPr>
            </w:pPr>
            <w:r>
              <w:rPr>
                <w:rFonts w:ascii="Arial" w:cs="Arial" w:eastAsia="Arial" w:hAnsi="Arial"/>
                <w:sz w:val="13"/>
                <w:szCs w:val="13"/>
                <w:b w:val="1"/>
                <w:bCs w:val="1"/>
                <w:color w:val="auto"/>
              </w:rPr>
              <w:t>Unobservable</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6"/>
        </w:trPr>
        <w:tc>
          <w:tcPr>
            <w:tcW w:w="1660" w:type="dxa"/>
            <w:vAlign w:val="bottom"/>
          </w:tcPr>
          <w:p>
            <w:pPr>
              <w:ind w:left="20"/>
              <w:spacing w:after="0"/>
              <w:rPr>
                <w:sz w:val="20"/>
                <w:szCs w:val="20"/>
                <w:color w:val="auto"/>
              </w:rPr>
            </w:pPr>
            <w:r>
              <w:rPr>
                <w:rFonts w:ascii="Arial" w:cs="Arial" w:eastAsia="Arial" w:hAnsi="Arial"/>
                <w:sz w:val="13"/>
                <w:szCs w:val="13"/>
                <w:b w:val="1"/>
                <w:bCs w:val="1"/>
                <w:color w:val="auto"/>
              </w:rPr>
              <w:t>Type of trade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June 30, 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5"/>
                <w:szCs w:val="15"/>
                <w:color w:val="auto"/>
              </w:rPr>
            </w:pPr>
          </w:p>
        </w:tc>
        <w:tc>
          <w:tcPr>
            <w:tcW w:w="1200" w:type="dxa"/>
            <w:vAlign w:val="bottom"/>
          </w:tcPr>
          <w:p>
            <w:pPr>
              <w:ind w:left="300"/>
              <w:spacing w:after="0"/>
              <w:rPr>
                <w:sz w:val="20"/>
                <w:szCs w:val="20"/>
                <w:color w:val="auto"/>
              </w:rPr>
            </w:pPr>
            <w:r>
              <w:rPr>
                <w:rFonts w:ascii="Arial" w:cs="Arial" w:eastAsia="Arial" w:hAnsi="Arial"/>
                <w:sz w:val="13"/>
                <w:szCs w:val="13"/>
                <w:b w:val="1"/>
                <w:bCs w:val="1"/>
                <w:color w:val="auto"/>
              </w:rPr>
              <w:t>Technique</w:t>
            </w:r>
          </w:p>
        </w:tc>
        <w:tc>
          <w:tcPr>
            <w:tcW w:w="100" w:type="dxa"/>
            <w:vAlign w:val="bottom"/>
          </w:tcPr>
          <w:p>
            <w:pPr>
              <w:spacing w:after="0"/>
              <w:rPr>
                <w:sz w:val="15"/>
                <w:szCs w:val="15"/>
                <w:color w:val="auto"/>
              </w:rPr>
            </w:pPr>
          </w:p>
        </w:tc>
        <w:tc>
          <w:tcPr>
            <w:tcW w:w="1200" w:type="dxa"/>
            <w:vAlign w:val="bottom"/>
          </w:tcPr>
          <w:p>
            <w:pPr>
              <w:ind w:left="480"/>
              <w:spacing w:after="0"/>
              <w:rPr>
                <w:sz w:val="20"/>
                <w:szCs w:val="20"/>
                <w:color w:val="auto"/>
              </w:rPr>
            </w:pPr>
            <w:r>
              <w:rPr>
                <w:rFonts w:ascii="Arial" w:cs="Arial" w:eastAsia="Arial" w:hAnsi="Arial"/>
                <w:sz w:val="13"/>
                <w:szCs w:val="13"/>
                <w:b w:val="1"/>
                <w:bCs w:val="1"/>
                <w:color w:val="auto"/>
              </w:rPr>
              <w:t>Input</w:t>
            </w:r>
          </w:p>
        </w:tc>
        <w:tc>
          <w:tcPr>
            <w:tcW w:w="2220" w:type="dxa"/>
            <w:vAlign w:val="bottom"/>
            <w:gridSpan w:val="4"/>
          </w:tcPr>
          <w:p>
            <w:pPr>
              <w:ind w:left="160"/>
              <w:spacing w:after="0"/>
              <w:rPr>
                <w:sz w:val="20"/>
                <w:szCs w:val="20"/>
                <w:color w:val="auto"/>
              </w:rPr>
            </w:pPr>
            <w:r>
              <w:rPr>
                <w:rFonts w:ascii="Arial" w:cs="Arial" w:eastAsia="Arial" w:hAnsi="Arial"/>
                <w:sz w:val="13"/>
                <w:szCs w:val="13"/>
                <w:b w:val="1"/>
                <w:bCs w:val="1"/>
                <w:color w:val="auto"/>
                <w:w w:val="98"/>
              </w:rPr>
              <w:t>2023 Range &amp; Arithmetic Average</w:t>
            </w:r>
          </w:p>
        </w:tc>
        <w:tc>
          <w:tcPr>
            <w:tcW w:w="100" w:type="dxa"/>
            <w:vAlign w:val="bottom"/>
          </w:tcPr>
          <w:p>
            <w:pPr>
              <w:spacing w:after="0"/>
              <w:rPr>
                <w:sz w:val="15"/>
                <w:szCs w:val="15"/>
                <w:color w:val="auto"/>
              </w:rPr>
            </w:pPr>
          </w:p>
        </w:tc>
        <w:tc>
          <w:tcPr>
            <w:tcW w:w="2180" w:type="dxa"/>
            <w:vAlign w:val="bottom"/>
            <w:gridSpan w:val="4"/>
          </w:tcPr>
          <w:p>
            <w:pPr>
              <w:ind w:left="100"/>
              <w:spacing w:after="0"/>
              <w:rPr>
                <w:sz w:val="20"/>
                <w:szCs w:val="20"/>
                <w:color w:val="auto"/>
              </w:rPr>
            </w:pPr>
            <w:r>
              <w:rPr>
                <w:rFonts w:ascii="Arial" w:cs="Arial" w:eastAsia="Arial" w:hAnsi="Arial"/>
                <w:sz w:val="13"/>
                <w:szCs w:val="13"/>
                <w:b w:val="1"/>
                <w:bCs w:val="1"/>
                <w:color w:val="auto"/>
                <w:w w:val="98"/>
              </w:rPr>
              <w:t>2022 Range &amp; Arithmetic Average</w:t>
            </w:r>
          </w:p>
        </w:tc>
      </w:tr>
      <w:tr>
        <w:trPr>
          <w:trHeight w:val="35"/>
        </w:trPr>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55"/>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derivatives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Discounted Cash</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Forward power</w:t>
            </w: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89"/>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—Economic hedges</w:t>
            </w:r>
            <w:r>
              <w:rPr>
                <w:rFonts w:ascii="Arial" w:cs="Arial" w:eastAsia="Arial" w:hAnsi="Arial"/>
                <w:sz w:val="16"/>
                <w:szCs w:val="16"/>
                <w:color w:val="auto"/>
                <w:vertAlign w:val="superscript"/>
              </w:rPr>
              <w:t>(a)(b)</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Flow</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price</w:t>
            </w:r>
          </w:p>
        </w:tc>
        <w:tc>
          <w:tcPr>
            <w:tcW w:w="680" w:type="dxa"/>
            <w:vAlign w:val="bottom"/>
            <w:shd w:val="clear" w:color="auto" w:fill="CCEEFF"/>
          </w:tcPr>
          <w:p>
            <w:pPr>
              <w:jc w:val="center"/>
              <w:ind w:left="77"/>
              <w:spacing w:after="0"/>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$243</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$50</w:t>
            </w:r>
          </w:p>
        </w:tc>
        <w:tc>
          <w:tcPr>
            <w:tcW w:w="7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92"/>
              </w:rPr>
              <w:t>$0.63</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$283</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$72</w:t>
            </w:r>
          </w:p>
        </w:tc>
      </w:tr>
      <w:tr>
        <w:trPr>
          <w:trHeight w:val="162"/>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Forward gas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0"/>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price</w:t>
            </w:r>
          </w:p>
        </w:tc>
        <w:tc>
          <w:tcPr>
            <w:tcW w:w="680" w:type="dxa"/>
            <w:vAlign w:val="bottom"/>
          </w:tcPr>
          <w:p>
            <w:pPr>
              <w:jc w:val="center"/>
              <w:ind w:left="77"/>
              <w:spacing w:after="0"/>
              <w:rPr>
                <w:sz w:val="20"/>
                <w:szCs w:val="20"/>
                <w:color w:val="auto"/>
              </w:rPr>
            </w:pPr>
            <w:r>
              <w:rPr>
                <w:rFonts w:ascii="Arial" w:cs="Arial" w:eastAsia="Arial" w:hAnsi="Arial"/>
                <w:sz w:val="13"/>
                <w:szCs w:val="13"/>
                <w:color w:val="auto"/>
                <w:w w:val="92"/>
              </w:rPr>
              <w:t>$1.20</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Pr>
          <w:p>
            <w:pPr>
              <w:jc w:val="center"/>
              <w:spacing w:after="0"/>
              <w:rPr>
                <w:sz w:val="20"/>
                <w:szCs w:val="20"/>
                <w:color w:val="auto"/>
              </w:rPr>
            </w:pPr>
            <w:r>
              <w:rPr>
                <w:rFonts w:ascii="Arial" w:cs="Arial" w:eastAsia="Arial" w:hAnsi="Arial"/>
                <w:sz w:val="13"/>
                <w:szCs w:val="13"/>
                <w:color w:val="auto"/>
                <w:w w:val="92"/>
              </w:rPr>
              <w:t>$17</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$3.79</w:t>
            </w:r>
          </w:p>
        </w:tc>
        <w:tc>
          <w:tcPr>
            <w:tcW w:w="700" w:type="dxa"/>
            <w:vAlign w:val="bottom"/>
            <w:gridSpan w:val="2"/>
          </w:tcPr>
          <w:p>
            <w:pPr>
              <w:jc w:val="center"/>
              <w:ind w:left="97"/>
              <w:spacing w:after="0"/>
              <w:rPr>
                <w:sz w:val="20"/>
                <w:szCs w:val="20"/>
                <w:color w:val="auto"/>
              </w:rPr>
            </w:pPr>
            <w:r>
              <w:rPr>
                <w:rFonts w:ascii="Arial" w:cs="Arial" w:eastAsia="Arial" w:hAnsi="Arial"/>
                <w:sz w:val="13"/>
                <w:szCs w:val="13"/>
                <w:color w:val="auto"/>
                <w:w w:val="92"/>
              </w:rPr>
              <w:t>$1.67</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92"/>
              </w:rPr>
              <w:t>$26</w:t>
            </w:r>
          </w:p>
        </w:tc>
        <w:tc>
          <w:tcPr>
            <w:tcW w:w="640" w:type="dxa"/>
            <w:vAlign w:val="bottom"/>
          </w:tcPr>
          <w:p>
            <w:pPr>
              <w:jc w:val="center"/>
              <w:spacing w:after="0"/>
              <w:rPr>
                <w:sz w:val="20"/>
                <w:szCs w:val="20"/>
                <w:color w:val="auto"/>
              </w:rPr>
            </w:pPr>
            <w:r>
              <w:rPr>
                <w:rFonts w:ascii="Arial" w:cs="Arial" w:eastAsia="Arial" w:hAnsi="Arial"/>
                <w:sz w:val="13"/>
                <w:szCs w:val="13"/>
                <w:color w:val="auto"/>
                <w:w w:val="98"/>
              </w:rPr>
              <w:t>$4.57</w:t>
            </w:r>
          </w:p>
        </w:tc>
      </w:tr>
      <w:tr>
        <w:trPr>
          <w:trHeight w:val="30"/>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3"/>
        </w:trPr>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Volatility</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Model</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percentage</w:t>
            </w:r>
          </w:p>
        </w:tc>
        <w:tc>
          <w:tcPr>
            <w:tcW w:w="680" w:type="dxa"/>
            <w:vAlign w:val="bottom"/>
            <w:shd w:val="clear" w:color="auto" w:fill="CCEEFF"/>
          </w:tcPr>
          <w:p>
            <w:pPr>
              <w:jc w:val="center"/>
              <w:ind w:left="57"/>
              <w:spacing w:after="0"/>
              <w:rPr>
                <w:sz w:val="20"/>
                <w:szCs w:val="20"/>
                <w:color w:val="auto"/>
              </w:rPr>
            </w:pPr>
            <w:r>
              <w:rPr>
                <w:rFonts w:ascii="Arial" w:cs="Arial" w:eastAsia="Arial" w:hAnsi="Arial"/>
                <w:sz w:val="13"/>
                <w:szCs w:val="13"/>
                <w:color w:val="auto"/>
                <w:w w:val="96"/>
              </w:rPr>
              <w:t>122%</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128%</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124%</w:t>
            </w:r>
          </w:p>
        </w:tc>
        <w:tc>
          <w:tcPr>
            <w:tcW w:w="700" w:type="dxa"/>
            <w:vAlign w:val="bottom"/>
            <w:gridSpan w:val="2"/>
            <w:shd w:val="clear" w:color="auto" w:fill="CCEEFF"/>
          </w:tcPr>
          <w:p>
            <w:pPr>
              <w:jc w:val="center"/>
              <w:ind w:left="97"/>
              <w:spacing w:after="0"/>
              <w:rPr>
                <w:sz w:val="20"/>
                <w:szCs w:val="20"/>
                <w:color w:val="auto"/>
              </w:rPr>
            </w:pPr>
            <w:r>
              <w:rPr>
                <w:rFonts w:ascii="Arial" w:cs="Arial" w:eastAsia="Arial" w:hAnsi="Arial"/>
                <w:sz w:val="13"/>
                <w:szCs w:val="13"/>
                <w:color w:val="auto"/>
                <w:w w:val="99"/>
              </w:rPr>
              <w:t>97%</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119%</w:t>
            </w:r>
          </w:p>
        </w:tc>
        <w:tc>
          <w:tcPr>
            <w:tcW w:w="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111%</w:t>
            </w:r>
          </w:p>
        </w:tc>
      </w:tr>
      <w:tr>
        <w:trPr>
          <w:trHeight w:val="30"/>
        </w:trPr>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valuation techniques, unobservable inputs, ranges, and arithmetic averages are the same for the asset and liability positions.</w:t>
      </w:r>
    </w:p>
    <w:p>
      <w:pPr>
        <w:spacing w:after="0" w:line="16"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fair values do not include cash collateral posted on level 3 positions of $324 million and $218 million as of June 30, 2023 and December 31, 2022, respectively.</w:t>
      </w:r>
    </w:p>
    <w:p>
      <w:pPr>
        <w:spacing w:after="0" w:line="200" w:lineRule="exact"/>
        <w:rPr>
          <w:sz w:val="20"/>
          <w:szCs w:val="20"/>
          <w:color w:val="auto"/>
        </w:rPr>
      </w:pP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inputs listed above, which are as of the balance sheet date, would have a direct impact on the fair values of the above instruments if they were adjusted. The significant unobservable inputs used in the fair value measurement of our commodity derivatives are forward commodity prices and price volatility for options. Increases (decreases) in the forward commodity price in isolation would result in significantly higher (lower) fair values for long positions (contracts that give us the obligation or option to purchase a commodity), with offsetting impacts to short positions (contracts that give us the obligation or right to sell a commodity). Increases (decreases) in volatility would increase (decrease) the value for the holder of the option (writer of the option). Generally, a change in the estimate of forward commodity prices is unrelated to a change in the estimate of volatility of prices. An increase to the heat rate or renewable factors would increase the fair value accordingly. Generally, interrelationships exist between market prices of natural gas and power; i.e. an increase in natural gas pricing would have a similar impact on forward power markets. See Note 10 — Derivative Financial Instruments for additional information on mark-to-market derivatives.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Note 13 —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380" w:firstLine="8"/>
        <w:spacing w:after="0" w:line="466" w:lineRule="auto"/>
        <w:tabs>
          <w:tab w:leader="none" w:pos="27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Commitments</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 xml:space="preserve">Commercial Commitments. </w:t>
      </w:r>
      <w:r>
        <w:rPr>
          <w:rFonts w:ascii="Arial" w:cs="Arial" w:eastAsia="Arial" w:hAnsi="Arial"/>
          <w:sz w:val="16"/>
          <w:szCs w:val="16"/>
          <w:color w:val="auto"/>
        </w:rPr>
        <w:t>Commercial commitments as of June 30, 2023, representing commitments potentially triggered by future events, were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w w:val="95"/>
              </w:rPr>
              <w:t>Expiration within</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w w:val="89"/>
              </w:rPr>
              <w:t>2026</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2028 and beyond</w:t>
            </w:r>
          </w:p>
        </w:tc>
        <w:tc>
          <w:tcPr>
            <w:tcW w:w="0" w:type="dxa"/>
            <w:vAlign w:val="bottom"/>
          </w:tcPr>
          <w:p>
            <w:pPr>
              <w:spacing w:after="0"/>
              <w:rPr>
                <w:sz w:val="1"/>
                <w:szCs w:val="1"/>
                <w:color w:val="auto"/>
              </w:rPr>
            </w:pPr>
          </w:p>
        </w:tc>
      </w:tr>
      <w:tr>
        <w:trPr>
          <w:trHeight w:val="209"/>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Letters of credit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1,661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line="216" w:lineRule="exact"/>
              <w:rPr>
                <w:sz w:val="20"/>
                <w:szCs w:val="20"/>
                <w:color w:val="auto"/>
              </w:rPr>
            </w:pPr>
            <w:r>
              <w:rPr>
                <w:rFonts w:ascii="Arial" w:cs="Arial" w:eastAsia="Arial" w:hAnsi="Arial"/>
                <w:sz w:val="16"/>
                <w:szCs w:val="16"/>
                <w:color w:val="auto"/>
              </w:rPr>
              <w:t>Surety bonds</w:t>
            </w:r>
            <w:r>
              <w:rPr>
                <w:rFonts w:ascii="Arial" w:cs="Arial" w:eastAsia="Arial" w:hAnsi="Arial"/>
                <w:sz w:val="21"/>
                <w:szCs w:val="21"/>
                <w:color w:val="auto"/>
                <w:vertAlign w:val="superscript"/>
              </w:rPr>
              <w:t>(a)</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98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Total commercial</w:t>
            </w: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2,571</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783</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w:t>
            </w:r>
          </w:p>
        </w:tc>
        <w:tc>
          <w:tcPr>
            <w:tcW w:w="3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Surety bonds—Guarantees issued related to contract and commercial agreements, excluding bid bonds.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Remediation Matters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Our operations have in the past, and may in the future, require substantial expenditures to comply with environmental laws. Additionally,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and state environmental laws, we are generally liable for the costs of remediating environmental contamination of property now or formerly owned by us and of property contaminated by hazardous substances generated by us. We own or lease several real estate parcels, including parcels on which our operations or the operations of others may have resulted in contamination by substances that are considered hazardous under environmental laws. In addition, we are currently involved in proceedings relating to sites where hazardous substances have been deposited and may be subject to additional proceedings in the future. Unless otherwise disclosed, we cannot reasonably estimate whether we will incur significant liabilities for additional investigation and remediation costs at these or additional sites identified by us, environmental agencies, or others. Additional costs could have a material, unfavorable impact on our financial statements.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had accrued undiscounted amounts for environmental liabilities of $127 million and $119 million as of June 30, 2023 and December 31, 2022, respectively, in Accrued expenses and Other deferred credits and other liabilities in the Consolidated Balance Sheets.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Cotter Corporation. </w:t>
      </w:r>
      <w:r>
        <w:rPr>
          <w:rFonts w:ascii="Arial" w:cs="Arial" w:eastAsia="Arial" w:hAnsi="Arial"/>
          <w:sz w:val="16"/>
          <w:szCs w:val="16"/>
          <w:color w:val="auto"/>
        </w:rPr>
        <w:t>The EPA has advised Cotter Corporation (N.S.L.) (Cotter), a former ComEd subsidiary, that it is potentially liable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radiological contamination at two sites in Missouri. In 2000, ComEd sold Cotter to an unaffiliated third-party. As part of the sale, ComEd agreed to indemnify Cotter for any liability arising from these two Missouri superfund sites, West Lake Landfill and Latty Avenue. In connection with Exelon’s 2001 corporate restructuring, this responsibility to indemnify Cotter was transferred to us, and ultimately retained by us per the terms of our separation from Exelon. See Note 1 — Basis of Presentation for additional information on the separation and Note 19 - Commitments and Contingencies of our 2022 Form 10-K for additional information on the West Lake Landfill.</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Latty Avenue and Vicinity Properties. </w:t>
      </w:r>
      <w:r>
        <w:rPr>
          <w:rFonts w:ascii="Arial" w:cs="Arial" w:eastAsia="Arial" w:hAnsi="Arial"/>
          <w:sz w:val="16"/>
          <w:szCs w:val="16"/>
          <w:color w:val="auto"/>
        </w:rPr>
        <w:t>In August 2011, Cotter was notified by the DOJ that Cotter is considered a PRP with respect to the government’s clean-up costs for contamination attributable to low level radioactive residues at a former storage and reprocessing facility named Latty Avenue near St. Louis, Missouri.</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Latty Avenue was investigated and remediated by the United States Army Corps of Engineers pursuant to funding under the Formerly Utilized Sites Remedial Action Program. On August 3, 2020, the DOJ advised Cotter that it is seeking approximately $90 million from all the PRPs. In December 2021, a good faith offer was submitted to the government. After subsequent communications with DOJ, Cotter proposed, and DOJ agreed to consider mediation to facilitate a settlement. Pursuant to a series of agreements since 2011, the DOJ and Cotter have extended the Statute of Limitations through August 31, 2023. We have determined that a loss associated with this matter is probable and have recorded an estimated liability, included in the total amount as discussed above, that reflects management's best estimate of Cotter's allocable share of the cost. It is reasonably possible that Cotter's allocable share could differ significantly, which could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Note 13 —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April 2023, Cotter was informed by the DOJ about potential additional liability for all PRPs of approximately $90 million associated with the Latty Avenue site as well as certain allegedly contaminated properties in the vicinity of Latty Avenue, for which the government claims that Cotter is a PRP. We are in the process of evaluating this potential liability. It is reasonably possible that Cotter's allocable share could have a material unfavorable impact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Regulatory Matters</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Asbestos Personal Injury Claims. </w:t>
      </w:r>
      <w:r>
        <w:rPr>
          <w:rFonts w:ascii="Arial" w:cs="Arial" w:eastAsia="Arial" w:hAnsi="Arial"/>
          <w:sz w:val="16"/>
          <w:szCs w:val="16"/>
          <w:color w:val="auto"/>
        </w:rPr>
        <w:t>We maintain a reserve for claims associated with asbestos-related personal injury actions at certain facilities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owned by us or were previously owned by ComEd, PECO, or BGE. The estimated liabilities are recorded on an undiscounted basis and exclude the estimated legal costs associated with handling these matters, which could be material.</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At June 30, 2023 and December 31, 2022, we recorded estimated liabilities of approximately $109 million and $95 million, respectively, in total for asbestos-related bodily injury claims. As of June 30, 2023, approximately $28 million of this amount related to 250 open claims presented to us, while the remaining $81 million is for estimated future asbestos-related bodily injury claims anticipated to arise through 2055, based on actuarial assumptions and analyses, which are updated on an annual basis. On a quarterly basis, we monitor actual experience against the number of forecasted claims to be received and expected claim payments and evaluate whether adjustments to the estimated liabilities are necessary.</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Impacts of the February 2021 Extreme Cold Weather Event and Texas-based Generating Assets Outages. </w:t>
      </w:r>
      <w:r>
        <w:rPr>
          <w:rFonts w:ascii="Arial" w:cs="Arial" w:eastAsia="Arial" w:hAnsi="Arial"/>
          <w:sz w:val="16"/>
          <w:szCs w:val="16"/>
          <w:color w:val="auto"/>
        </w:rPr>
        <w:t>Beginning on February 15, 2021,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Texas-based generating assets within the ERCOT market, specifically Colorado Bend II, Wolf Hollow II, and Handley, experienced outages as a result of extreme cold weather conditions. In addition, those weather conditions drove increased demand for service, dramatically increased wholesale power prices, and also increased gas prices in certain regions. See Note 3 — Regulatory Matters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Various lawsuits have been filed against us since March 2021 related to these events, including:</w:t>
      </w:r>
    </w:p>
    <w:p>
      <w:pPr>
        <w:spacing w:after="0" w:line="167" w:lineRule="exact"/>
        <w:rPr>
          <w:sz w:val="20"/>
          <w:szCs w:val="20"/>
          <w:color w:val="auto"/>
        </w:rPr>
      </w:pPr>
    </w:p>
    <w:p>
      <w:pPr>
        <w:jc w:val="both"/>
        <w:ind w:left="660" w:hanging="328"/>
        <w:spacing w:after="0" w:line="257"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March 5, 2021, we, along with more than 150 power generators and transmission and distribution companies, were sued by approximately 160 individually named plaintiffs, purportedly on behalf of all Texans who allegedly suffered loss of life or sustained personal injury, property damage or other losses as a result of the weather events. The plaintiffs alleged that the defendants failed to properly prepare for the cold weather and failed to properly conduct their operations, seeking compensatory as well as punitive damages. Thereafter, numerous other plaintiffs filed multiple lawsuits against more than 300 defendants, including us, involving similar allegations of liability and claims of personal injury and property damage all arising out of the February weather events. These additional lawsuits allege wrongful death, property damage, or other losses. Co-defendants in these lawsuits include ERCOT, transmission and distribution utilities and other generators.</w:t>
      </w:r>
    </w:p>
    <w:p>
      <w:pPr>
        <w:spacing w:after="0" w:line="146"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6"/>
          <w:szCs w:val="16"/>
          <w:color w:val="auto"/>
        </w:rPr>
        <w:t>On December 28, 2021, approximately 130 insurance companies which insured Texas homeowners and businesses filed a subrogation lawsuit against multiple defendants alleging that defendants were at fault for the energy failure that resulted from the winter storm, causing significant property damage to the insureds. Subsequently, several hundred other insurance companies filed similar claims. All of these cases were combined in a Multi-District-Litigation (MDL) pending in Texas state court, which established a bellwether process to consider initial motions to dismiss by the different industry groups of defendants. Defendants filed Motions to Dismiss the amended complaints in five bellwether cases in July 2022. Briefing was completed in September 2022, and oral argument was held on October 11 and 12, 2022. On February 3, 2023, the court granted the motions to dismiss pertaining to us in part and denied them in part, leaving the plaintiffs' negligence and nuisance claims to proceed. As a result, we remain a defendant in the lawsuits, although we, along with the other generators, have sought relief from the court of appeals in Texas. Since the motions to dismiss were partially denied, thousands of new claimants, many in multiple mass tort actions, have filed lawsuits in various Texas state courts naming us, among other defendants. The expectation is these lawsuits will be transferred to the MDL. To date, we have been served with only some of the newly filed claims. Once reconstituted, the MDL is expected to now involve over 200 cases brought by over 20,000 plaintiffs, including more than 500 insurance companies, and we are defendants in the majority of them.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Note 13 —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60"/>
        <w:spacing w:after="0" w:line="270" w:lineRule="auto"/>
        <w:rPr>
          <w:sz w:val="20"/>
          <w:szCs w:val="20"/>
          <w:color w:val="auto"/>
        </w:rPr>
      </w:pPr>
      <w:r>
        <w:rPr>
          <w:rFonts w:ascii="Arial" w:cs="Arial" w:eastAsia="Arial" w:hAnsi="Arial"/>
          <w:sz w:val="16"/>
          <w:szCs w:val="16"/>
          <w:color w:val="auto"/>
        </w:rPr>
        <w:t>We dispute liability and deny that we are responsible for any of plaintiffs’ alleged claims and are vigorously contesting them. No loss contingencies have been reflected in the consolidated financial statements with respect to these matters, nor can we currently estimate a range of loss. It is reasonably possible, however, that resolution of these matters could have a material, unfavorable impact on our consolidated financial statements.</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are involved in various other litigation matters that are being defended and handled in the ordinary course of business. The assessment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whether a loss is probable or reasonably possible, and whether the loss or a range of loss is estimable, often involves a series of complex judgments about future events. We maintain accruals for such losses that are probable of being incurred and subject to reasonable estimation. Management is sometimes unable to estimate an amount or range of reasonably possible loss, particularly where (1) the damages sought are indeterminate, (2) the proceedings are in the early stages, or (3) the matters involve novel or unsettled legal theories. In such cases, there is considerable uncertainty regarding the timing or ultimate resolution of such matters, including a possible eventual loss.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 (CEG Parent)</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February 16, 2023, as part of our capital allocation plan, our Board of Directors announced a share repurchase program with a $1 billion authority without expiration. Share repurchases may be made through a variety of methods, which may include open market or privately negotiated transactions, provided that the amounts spent do not exceed what is authorized. Any repurchased shares are constructively retired and cancelled. The program does not obligate us to acquire a minimum number of shares during any period and our repurchase of CEG's common stock may be limited, suspended, or discounted at any time at our discretion and without prior notice. Repurchases under this program commenced in March 2023.</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the three and six months ended June 30, 2023, we repurchased from the open market 3.0 million and 6.2 million shares of our common stock for a total cost of $252 million and $503 million at an average price per share of $84.49 and $80.44, respectively. As of June 30, 2023, there was $497 million of remaining authority to repurchase shares. No other repurchase plans or programs have been authorized by our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Accumulated Other Comprehensive Loss (All Registrants)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changes in AOCI, net of tax,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right="24"/>
              <w:spacing w:after="0"/>
              <w:rPr>
                <w:sz w:val="20"/>
                <w:szCs w:val="20"/>
                <w:color w:val="auto"/>
              </w:rPr>
            </w:pPr>
            <w:r>
              <w:rPr>
                <w:rFonts w:ascii="Arial" w:cs="Arial" w:eastAsia="Arial" w:hAnsi="Arial"/>
                <w:sz w:val="13"/>
                <w:szCs w:val="13"/>
                <w:b w:val="1"/>
                <w:bCs w:val="1"/>
                <w:color w:val="auto"/>
                <w:w w:val="95"/>
              </w:rPr>
              <w:t>Pension and Non-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51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Losses on Cash Flow</w:t>
            </w:r>
          </w:p>
        </w:tc>
        <w:tc>
          <w:tcPr>
            <w:tcW w:w="1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Pension Postretirement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84"/>
              <w:spacing w:after="0"/>
              <w:rPr>
                <w:sz w:val="20"/>
                <w:szCs w:val="20"/>
                <w:color w:val="auto"/>
              </w:rPr>
            </w:pPr>
            <w:r>
              <w:rPr>
                <w:rFonts w:ascii="Arial" w:cs="Arial" w:eastAsia="Arial" w:hAnsi="Arial"/>
                <w:sz w:val="13"/>
                <w:szCs w:val="13"/>
                <w:b w:val="1"/>
                <w:bCs w:val="1"/>
                <w:color w:val="auto"/>
                <w:w w:val="95"/>
              </w:rPr>
              <w:t>Foreign Currency</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Three Months Ended June 30, 2023</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7"/>
              </w:rPr>
              <w:t>Hedges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6"/>
              </w:rPr>
              <w:t>Benefit Plan Items(a)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Items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Total</w:t>
            </w:r>
          </w:p>
        </w:tc>
      </w:tr>
      <w:tr>
        <w:trPr>
          <w:trHeight w:val="241"/>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r>
      <w:tr>
        <w:trPr>
          <w:trHeight w:val="223"/>
        </w:trPr>
        <w:tc>
          <w:tcPr>
            <w:tcW w:w="510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w:t>
            </w:r>
          </w:p>
        </w:tc>
      </w:tr>
      <w:tr>
        <w:trPr>
          <w:trHeight w:val="33"/>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w:t>
            </w:r>
          </w:p>
        </w:tc>
      </w:tr>
      <w:tr>
        <w:trPr>
          <w:trHeight w:val="236"/>
        </w:trPr>
        <w:tc>
          <w:tcPr>
            <w:tcW w:w="5100" w:type="dxa"/>
            <w:vAlign w:val="bottom"/>
          </w:tcPr>
          <w:p>
            <w:pPr>
              <w:ind w:left="20"/>
              <w:spacing w:after="0"/>
              <w:rPr>
                <w:sz w:val="20"/>
                <w:szCs w:val="20"/>
                <w:color w:val="auto"/>
              </w:rPr>
            </w:pPr>
            <w:r>
              <w:rPr>
                <w:rFonts w:ascii="Arial" w:cs="Arial" w:eastAsia="Arial" w:hAnsi="Arial"/>
                <w:sz w:val="16"/>
                <w:szCs w:val="16"/>
                <w:color w:val="auto"/>
              </w:rPr>
              <w:t>Net current-period OCI</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w:t>
            </w:r>
          </w:p>
        </w:tc>
      </w:tr>
      <w:tr>
        <w:trPr>
          <w:trHeight w:val="27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20"/>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24"/>
              <w:spacing w:after="0"/>
              <w:rPr>
                <w:sz w:val="20"/>
                <w:szCs w:val="20"/>
                <w:color w:val="auto"/>
              </w:rPr>
            </w:pPr>
            <w:r>
              <w:rPr>
                <w:rFonts w:ascii="Arial" w:cs="Arial" w:eastAsia="Arial" w:hAnsi="Arial"/>
                <w:sz w:val="13"/>
                <w:szCs w:val="13"/>
                <w:b w:val="1"/>
                <w:bCs w:val="1"/>
                <w:color w:val="auto"/>
                <w:w w:val="95"/>
              </w:rPr>
              <w:t>Pension and Non-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9"/>
        </w:trPr>
        <w:tc>
          <w:tcPr>
            <w:tcW w:w="510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Losses on Cash Flow</w:t>
            </w:r>
          </w:p>
        </w:tc>
        <w:tc>
          <w:tcPr>
            <w:tcW w:w="140" w:type="dxa"/>
            <w:vAlign w:val="bottom"/>
          </w:tcPr>
          <w:p>
            <w:pPr>
              <w:spacing w:after="0"/>
              <w:rPr>
                <w:sz w:val="12"/>
                <w:szCs w:val="12"/>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Pension Postretirement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rPr>
                <w:sz w:val="20"/>
                <w:szCs w:val="20"/>
                <w:color w:val="auto"/>
              </w:rPr>
            </w:pPr>
            <w:r>
              <w:rPr>
                <w:rFonts w:ascii="Arial" w:cs="Arial" w:eastAsia="Arial" w:hAnsi="Arial"/>
                <w:sz w:val="13"/>
                <w:szCs w:val="13"/>
                <w:b w:val="1"/>
                <w:bCs w:val="1"/>
                <w:color w:val="auto"/>
                <w:w w:val="95"/>
              </w:rPr>
              <w:t>Foreign Currency</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93"/>
        </w:trPr>
        <w:tc>
          <w:tcPr>
            <w:tcW w:w="5100" w:type="dxa"/>
            <w:vAlign w:val="bottom"/>
          </w:tcPr>
          <w:p>
            <w:pPr>
              <w:ind w:left="20"/>
              <w:spacing w:after="0"/>
              <w:rPr>
                <w:sz w:val="20"/>
                <w:szCs w:val="20"/>
                <w:color w:val="auto"/>
              </w:rPr>
            </w:pPr>
            <w:r>
              <w:rPr>
                <w:rFonts w:ascii="Arial" w:cs="Arial" w:eastAsia="Arial" w:hAnsi="Arial"/>
                <w:sz w:val="13"/>
                <w:szCs w:val="13"/>
                <w:b w:val="1"/>
                <w:bCs w:val="1"/>
                <w:color w:val="auto"/>
              </w:rPr>
              <w:t>Three Months Ended June 30, 2022</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7"/>
              </w:rPr>
              <w:t>Hedges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6"/>
              </w:rPr>
              <w:t>Benefit Plan Items(a)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Items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Total</w:t>
            </w:r>
          </w:p>
        </w:tc>
      </w:tr>
      <w:tr>
        <w:trPr>
          <w:trHeight w:val="23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w:t>
            </w:r>
          </w:p>
        </w:tc>
      </w:tr>
      <w:tr>
        <w:trPr>
          <w:trHeight w:val="233"/>
        </w:trPr>
        <w:tc>
          <w:tcPr>
            <w:tcW w:w="510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w:t>
            </w:r>
          </w:p>
        </w:tc>
      </w:tr>
      <w:tr>
        <w:trPr>
          <w:trHeight w:val="24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current-period OCI</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w:t>
            </w:r>
          </w:p>
        </w:tc>
      </w:tr>
      <w:tr>
        <w:trPr>
          <w:trHeight w:val="26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940"/>
        <w:spacing w:after="0"/>
        <w:rPr>
          <w:sz w:val="20"/>
          <w:szCs w:val="20"/>
          <w:color w:val="auto"/>
        </w:rPr>
      </w:pPr>
      <w:r>
        <w:rPr>
          <w:rFonts w:ascii="Arial" w:cs="Arial" w:eastAsia="Arial" w:hAnsi="Arial"/>
          <w:sz w:val="16"/>
          <w:szCs w:val="16"/>
          <w:color w:val="auto"/>
        </w:rPr>
        <w:t>Note 14 — Shareholders' Equity</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24"/>
              <w:spacing w:after="0"/>
              <w:rPr>
                <w:sz w:val="20"/>
                <w:szCs w:val="20"/>
                <w:color w:val="auto"/>
              </w:rPr>
            </w:pPr>
            <w:r>
              <w:rPr>
                <w:rFonts w:ascii="Arial" w:cs="Arial" w:eastAsia="Arial" w:hAnsi="Arial"/>
                <w:sz w:val="13"/>
                <w:szCs w:val="13"/>
                <w:b w:val="1"/>
                <w:bCs w:val="1"/>
                <w:color w:val="auto"/>
                <w:w w:val="95"/>
              </w:rPr>
              <w:t>Pension and Non-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8"/>
        </w:trPr>
        <w:tc>
          <w:tcPr>
            <w:tcW w:w="5100" w:type="dxa"/>
            <w:vAlign w:val="bottom"/>
          </w:tcPr>
          <w:p>
            <w:pPr>
              <w:spacing w:after="0"/>
              <w:rPr>
                <w:sz w:val="12"/>
                <w:szCs w:val="12"/>
                <w:color w:val="auto"/>
              </w:rPr>
            </w:pP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Losses on Cash Flow</w:t>
            </w:r>
          </w:p>
        </w:tc>
        <w:tc>
          <w:tcPr>
            <w:tcW w:w="140" w:type="dxa"/>
            <w:vAlign w:val="bottom"/>
          </w:tcPr>
          <w:p>
            <w:pPr>
              <w:spacing w:after="0"/>
              <w:rPr>
                <w:sz w:val="12"/>
                <w:szCs w:val="12"/>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Pension Postretirement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84"/>
              <w:spacing w:after="0"/>
              <w:rPr>
                <w:sz w:val="20"/>
                <w:szCs w:val="20"/>
                <w:color w:val="auto"/>
              </w:rPr>
            </w:pPr>
            <w:r>
              <w:rPr>
                <w:rFonts w:ascii="Arial" w:cs="Arial" w:eastAsia="Arial" w:hAnsi="Arial"/>
                <w:sz w:val="13"/>
                <w:szCs w:val="13"/>
                <w:b w:val="1"/>
                <w:bCs w:val="1"/>
                <w:color w:val="auto"/>
                <w:w w:val="95"/>
              </w:rPr>
              <w:t>Foreign Currency</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Six Months Ended June 30, 2023</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7"/>
              </w:rPr>
              <w:t>Hedges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6"/>
              </w:rPr>
              <w:t>Benefit Plan Items(a)</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4"/>
              </w:rPr>
              <w:t>Items</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Total</w:t>
            </w:r>
          </w:p>
        </w:tc>
      </w:tr>
      <w:tr>
        <w:trPr>
          <w:trHeight w:val="24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(1,760)</w:t>
            </w:r>
          </w:p>
        </w:tc>
      </w:tr>
      <w:tr>
        <w:trPr>
          <w:trHeight w:val="233"/>
        </w:trPr>
        <w:tc>
          <w:tcPr>
            <w:tcW w:w="510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6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Net current-period OCI</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7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82"/>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ind w:right="24"/>
              <w:spacing w:after="0"/>
              <w:rPr>
                <w:sz w:val="20"/>
                <w:szCs w:val="20"/>
                <w:color w:val="auto"/>
              </w:rPr>
            </w:pPr>
            <w:r>
              <w:rPr>
                <w:rFonts w:ascii="Arial" w:cs="Arial" w:eastAsia="Arial" w:hAnsi="Arial"/>
                <w:sz w:val="13"/>
                <w:szCs w:val="13"/>
                <w:b w:val="1"/>
                <w:bCs w:val="1"/>
                <w:color w:val="auto"/>
                <w:w w:val="95"/>
              </w:rPr>
              <w:t>Pension and Non-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51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Losses on Cash Flow</w:t>
            </w:r>
          </w:p>
        </w:tc>
        <w:tc>
          <w:tcPr>
            <w:tcW w:w="1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Pension Postretirement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84"/>
              <w:spacing w:after="0"/>
              <w:rPr>
                <w:sz w:val="20"/>
                <w:szCs w:val="20"/>
                <w:color w:val="auto"/>
              </w:rPr>
            </w:pPr>
            <w:r>
              <w:rPr>
                <w:rFonts w:ascii="Arial" w:cs="Arial" w:eastAsia="Arial" w:hAnsi="Arial"/>
                <w:sz w:val="13"/>
                <w:szCs w:val="13"/>
                <w:b w:val="1"/>
                <w:bCs w:val="1"/>
                <w:color w:val="auto"/>
                <w:w w:val="95"/>
              </w:rPr>
              <w:t>Foreign Currency</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5100" w:type="dxa"/>
            <w:vAlign w:val="bottom"/>
          </w:tcPr>
          <w:p>
            <w:pPr>
              <w:ind w:left="20"/>
              <w:spacing w:after="0"/>
              <w:rPr>
                <w:sz w:val="20"/>
                <w:szCs w:val="20"/>
                <w:color w:val="auto"/>
              </w:rPr>
            </w:pPr>
            <w:r>
              <w:rPr>
                <w:rFonts w:ascii="Arial" w:cs="Arial" w:eastAsia="Arial" w:hAnsi="Arial"/>
                <w:sz w:val="13"/>
                <w:szCs w:val="13"/>
                <w:b w:val="1"/>
                <w:bCs w:val="1"/>
                <w:color w:val="auto"/>
              </w:rPr>
              <w:t>Six Months Ended June 30, 2022</w:t>
            </w:r>
          </w:p>
        </w:tc>
        <w:tc>
          <w:tcPr>
            <w:tcW w:w="300" w:type="dxa"/>
            <w:vAlign w:val="bottom"/>
          </w:tcPr>
          <w:p>
            <w:pPr>
              <w:spacing w:after="0"/>
              <w:rPr>
                <w:sz w:val="15"/>
                <w:szCs w:val="15"/>
                <w:color w:val="auto"/>
              </w:rPr>
            </w:pPr>
          </w:p>
        </w:tc>
        <w:tc>
          <w:tcPr>
            <w:tcW w:w="1120" w:type="dxa"/>
            <w:vAlign w:val="bottom"/>
          </w:tcPr>
          <w:p>
            <w:pPr>
              <w:jc w:val="center"/>
              <w:ind w:right="222"/>
              <w:spacing w:after="0"/>
              <w:rPr>
                <w:sz w:val="20"/>
                <w:szCs w:val="20"/>
                <w:color w:val="auto"/>
              </w:rPr>
            </w:pPr>
            <w:r>
              <w:rPr>
                <w:rFonts w:ascii="Arial" w:cs="Arial" w:eastAsia="Arial" w:hAnsi="Arial"/>
                <w:sz w:val="13"/>
                <w:szCs w:val="13"/>
                <w:b w:val="1"/>
                <w:bCs w:val="1"/>
                <w:color w:val="auto"/>
                <w:w w:val="97"/>
              </w:rPr>
              <w:t>Hedges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44"/>
              <w:spacing w:after="0"/>
              <w:rPr>
                <w:sz w:val="20"/>
                <w:szCs w:val="20"/>
                <w:color w:val="auto"/>
              </w:rPr>
            </w:pPr>
            <w:r>
              <w:rPr>
                <w:rFonts w:ascii="Arial" w:cs="Arial" w:eastAsia="Arial" w:hAnsi="Arial"/>
                <w:sz w:val="13"/>
                <w:szCs w:val="13"/>
                <w:b w:val="1"/>
                <w:bCs w:val="1"/>
                <w:color w:val="auto"/>
                <w:w w:val="96"/>
              </w:rPr>
              <w:t>Benefit Plan Items(a)</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84"/>
              <w:spacing w:after="0"/>
              <w:rPr>
                <w:sz w:val="20"/>
                <w:szCs w:val="20"/>
                <w:color w:val="auto"/>
              </w:rPr>
            </w:pPr>
            <w:r>
              <w:rPr>
                <w:rFonts w:ascii="Arial" w:cs="Arial" w:eastAsia="Arial" w:hAnsi="Arial"/>
                <w:sz w:val="13"/>
                <w:szCs w:val="13"/>
                <w:b w:val="1"/>
                <w:bCs w:val="1"/>
                <w:color w:val="auto"/>
                <w:w w:val="94"/>
              </w:rPr>
              <w:t>Items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02"/>
              <w:spacing w:after="0"/>
              <w:rPr>
                <w:sz w:val="20"/>
                <w:szCs w:val="20"/>
                <w:color w:val="auto"/>
              </w:rPr>
            </w:pPr>
            <w:r>
              <w:rPr>
                <w:rFonts w:ascii="Arial" w:cs="Arial" w:eastAsia="Arial" w:hAnsi="Arial"/>
                <w:sz w:val="13"/>
                <w:szCs w:val="13"/>
                <w:b w:val="1"/>
                <w:bCs w:val="1"/>
                <w:color w:val="auto"/>
              </w:rPr>
              <w:t>Total</w:t>
            </w:r>
          </w:p>
        </w:tc>
      </w:tr>
      <w:tr>
        <w:trPr>
          <w:trHeight w:val="22"/>
        </w:trPr>
        <w:tc>
          <w:tcPr>
            <w:tcW w:w="5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4"/>
        </w:trPr>
        <w:tc>
          <w:tcPr>
            <w:tcW w:w="5100" w:type="dxa"/>
            <w:vAlign w:val="bottom"/>
          </w:tcPr>
          <w:p>
            <w:pPr>
              <w:ind w:left="20"/>
              <w:spacing w:after="0"/>
              <w:rPr>
                <w:sz w:val="20"/>
                <w:szCs w:val="20"/>
                <w:color w:val="auto"/>
              </w:rPr>
            </w:pPr>
            <w:r>
              <w:rPr>
                <w:rFonts w:ascii="Arial" w:cs="Arial" w:eastAsia="Arial" w:hAnsi="Arial"/>
                <w:sz w:val="16"/>
                <w:szCs w:val="16"/>
                <w:color w:val="auto"/>
              </w:rPr>
              <w:t>Separation-related adjustments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(2,006)</w:t>
            </w:r>
          </w:p>
        </w:tc>
      </w:tr>
      <w:tr>
        <w:trPr>
          <w:trHeight w:val="33"/>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OCI before reclassifications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r>
      <w:tr>
        <w:trPr>
          <w:trHeight w:val="237"/>
        </w:trPr>
        <w:tc>
          <w:tcPr>
            <w:tcW w:w="510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w:t>
            </w:r>
          </w:p>
        </w:tc>
      </w:tr>
      <w:tr>
        <w:trPr>
          <w:trHeight w:val="25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current-period OCI</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r>
      <w:tr>
        <w:trPr>
          <w:trHeight w:val="243"/>
        </w:trPr>
        <w:tc>
          <w:tcPr>
            <w:tcW w:w="51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(1,963)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line="263"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AOCI amounts are included in the computation of net periodic pension and OPEB cost. See Note 9 — Retirement Benefits for additional information. See our Statements of Operations and Comprehensive Income for individual components of AOCI.</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income tax (expense) benefit allocated to each component of our other comprehensive loss: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2100" w:type="dxa"/>
            <w:vAlign w:val="bottom"/>
            <w:gridSpan w:val="5"/>
          </w:tcPr>
          <w:p>
            <w:pPr>
              <w:jc w:val="right"/>
              <w:ind w:right="85"/>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4"/>
          </w:tcPr>
          <w:p>
            <w:pPr>
              <w:jc w:val="right"/>
              <w:ind w:right="165"/>
              <w:spacing w:after="0"/>
              <w:rPr>
                <w:sz w:val="20"/>
                <w:szCs w:val="20"/>
                <w:color w:val="auto"/>
              </w:rPr>
            </w:pPr>
            <w:r>
              <w:rPr>
                <w:rFonts w:ascii="Arial" w:cs="Arial" w:eastAsia="Arial" w:hAnsi="Arial"/>
                <w:sz w:val="13"/>
                <w:szCs w:val="13"/>
                <w:b w:val="1"/>
                <w:bCs w:val="1"/>
                <w:color w:val="auto"/>
                <w:w w:val="99"/>
              </w:rPr>
              <w:t>Six Months Ended June 30,</w:t>
            </w:r>
          </w:p>
        </w:tc>
      </w:tr>
      <w:tr>
        <w:trPr>
          <w:trHeight w:val="22"/>
        </w:trPr>
        <w:tc>
          <w:tcPr>
            <w:tcW w:w="6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5"/>
        </w:trPr>
        <w:tc>
          <w:tcPr>
            <w:tcW w:w="6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Arial" w:cs="Arial" w:eastAsia="Arial" w:hAnsi="Arial"/>
                <w:sz w:val="13"/>
                <w:szCs w:val="13"/>
                <w:b w:val="1"/>
                <w:bCs w:val="1"/>
                <w:color w:val="auto"/>
              </w:rPr>
              <w:t>2022</w:t>
            </w:r>
          </w:p>
        </w:tc>
      </w:tr>
      <w:tr>
        <w:trPr>
          <w:trHeight w:val="22"/>
        </w:trPr>
        <w:tc>
          <w:tcPr>
            <w:tcW w:w="69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and non-pension postretirement benefit plans:</w:t>
            </w:r>
          </w:p>
        </w:tc>
        <w:tc>
          <w:tcPr>
            <w:tcW w:w="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33"/>
        </w:trPr>
        <w:tc>
          <w:tcPr>
            <w:tcW w:w="6900" w:type="dxa"/>
            <w:vAlign w:val="bottom"/>
          </w:tcPr>
          <w:p>
            <w:pPr>
              <w:ind w:left="360"/>
              <w:spacing w:after="0"/>
              <w:rPr>
                <w:sz w:val="20"/>
                <w:szCs w:val="20"/>
                <w:color w:val="auto"/>
              </w:rPr>
            </w:pPr>
            <w:r>
              <w:rPr>
                <w:rFonts w:ascii="Arial" w:cs="Arial" w:eastAsia="Arial" w:hAnsi="Arial"/>
                <w:sz w:val="16"/>
                <w:szCs w:val="16"/>
                <w:color w:val="auto"/>
              </w:rPr>
              <w:t>Actuarial loss reclassified to periodic benefit cost</w:t>
            </w:r>
          </w:p>
        </w:tc>
        <w:tc>
          <w:tcPr>
            <w:tcW w:w="680" w:type="dxa"/>
            <w:vAlign w:val="bottom"/>
          </w:tcPr>
          <w:p>
            <w:pPr>
              <w:jc w:val="right"/>
              <w:ind w:right="511"/>
              <w:spacing w:after="0"/>
              <w:rPr>
                <w:sz w:val="20"/>
                <w:szCs w:val="20"/>
                <w:color w:val="auto"/>
              </w:rPr>
            </w:pPr>
            <w:r>
              <w:rPr>
                <w:rFonts w:ascii="Arial" w:cs="Arial" w:eastAsia="Arial" w:hAnsi="Arial"/>
                <w:sz w:val="16"/>
                <w:szCs w:val="16"/>
                <w:color w:val="auto"/>
                <w:w w:val="89"/>
              </w:rPr>
              <w:t>$</w:t>
            </w:r>
          </w:p>
        </w:tc>
        <w:tc>
          <w:tcPr>
            <w:tcW w:w="300" w:type="dxa"/>
            <w:vAlign w:val="bottom"/>
          </w:tcPr>
          <w:p>
            <w:pPr>
              <w:ind w:left="80"/>
              <w:spacing w:after="0"/>
              <w:rPr>
                <w:sz w:val="20"/>
                <w:szCs w:val="20"/>
                <w:color w:val="auto"/>
              </w:rPr>
            </w:pPr>
            <w:r>
              <w:rPr>
                <w:rFonts w:ascii="Arial" w:cs="Arial" w:eastAsia="Arial" w:hAnsi="Arial"/>
                <w:sz w:val="16"/>
                <w:szCs w:val="16"/>
                <w:color w:val="auto"/>
              </w:rPr>
              <w:t>(3)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ind w:left="540"/>
              <w:spacing w:after="0"/>
              <w:rPr>
                <w:sz w:val="20"/>
                <w:szCs w:val="20"/>
                <w:color w:val="auto"/>
              </w:rPr>
            </w:pPr>
            <w:r>
              <w:rPr>
                <w:rFonts w:ascii="Arial" w:cs="Arial" w:eastAsia="Arial" w:hAnsi="Arial"/>
                <w:sz w:val="16"/>
                <w:szCs w:val="16"/>
                <w:color w:val="auto"/>
              </w:rPr>
              <w:t>(9)</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6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non-pension postretirement benefit plans valuation adjustment</w:t>
            </w: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680</w:t>
            </w:r>
          </w:p>
        </w:tc>
      </w:tr>
      <w:tr>
        <w:trPr>
          <w:trHeight w:val="33"/>
        </w:trPr>
        <w:tc>
          <w:tcPr>
            <w:tcW w:w="69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Variable Interest Entities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At June 30, 2023 and December 31, 2022, we consolidated several VIEs or VIE groups for which we are the primary beneficiary (see </w:t>
      </w:r>
      <w:r>
        <w:rPr>
          <w:rFonts w:ascii="Arial" w:cs="Arial" w:eastAsia="Arial" w:hAnsi="Arial"/>
          <w:sz w:val="16"/>
          <w:szCs w:val="16"/>
          <w:i w:val="1"/>
          <w:iCs w:val="1"/>
          <w:color w:val="auto"/>
        </w:rPr>
        <w:t>Consolidated VIEs</w:t>
      </w:r>
      <w:r>
        <w:rPr>
          <w:rFonts w:ascii="Arial" w:cs="Arial" w:eastAsia="Arial" w:hAnsi="Arial"/>
          <w:sz w:val="16"/>
          <w:szCs w:val="16"/>
          <w:color w:val="auto"/>
        </w:rPr>
        <w:t xml:space="preserve"> below) and had significant interests in several other VIEs for which we do not have the power to direct the entities’ activities and, accordingly, we were not the primary beneficiary (see </w:t>
      </w:r>
      <w:r>
        <w:rPr>
          <w:rFonts w:ascii="Arial" w:cs="Arial" w:eastAsia="Arial" w:hAnsi="Arial"/>
          <w:sz w:val="16"/>
          <w:szCs w:val="16"/>
          <w:i w:val="1"/>
          <w:iCs w:val="1"/>
          <w:color w:val="auto"/>
        </w:rPr>
        <w:t>Unconsolidated VIEs</w:t>
      </w:r>
      <w:r>
        <w:rPr>
          <w:rFonts w:ascii="Arial" w:cs="Arial" w:eastAsia="Arial" w:hAnsi="Arial"/>
          <w:sz w:val="16"/>
          <w:szCs w:val="16"/>
          <w:color w:val="auto"/>
        </w:rPr>
        <w:t xml:space="preserve"> below). Consolidated and unconsolidated VIEs are aggregated to the extent that the entities have similar risk profiles.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VIEs</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table below shows the carrying amounts and classification of the consolidated VIEs’ assets and liabilities included in the consolidated financial statements as of June 30, 2023 and December 31, 2022. The assets, except as noted in the footnotes to the table below, can only be used to settle obligations of the VIEs. The liabilities, except as noted in the footnotes to the table below, are such that creditors, or beneficiaries, do not have recourse to our general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color w:val="auto"/>
              </w:rPr>
              <w:t>Note 15 — Variable Interest Entities</w:t>
            </w:r>
          </w:p>
        </w:tc>
      </w:tr>
      <w:tr>
        <w:trPr>
          <w:trHeight w:val="646"/>
        </w:trPr>
        <w:tc>
          <w:tcPr>
            <w:tcW w:w="6200" w:type="dxa"/>
            <w:vAlign w:val="bottom"/>
          </w:tcPr>
          <w:p>
            <w:pPr>
              <w:spacing w:after="0"/>
              <w:rPr>
                <w:sz w:val="24"/>
                <w:szCs w:val="24"/>
                <w:color w:val="auto"/>
              </w:rPr>
            </w:pPr>
          </w:p>
        </w:tc>
        <w:tc>
          <w:tcPr>
            <w:tcW w:w="1800" w:type="dxa"/>
            <w:vAlign w:val="bottom"/>
          </w:tcPr>
          <w:p>
            <w:pPr>
              <w:jc w:val="right"/>
              <w:ind w:right="83"/>
              <w:spacing w:after="0"/>
              <w:rPr>
                <w:sz w:val="20"/>
                <w:szCs w:val="20"/>
                <w:color w:val="auto"/>
              </w:rPr>
            </w:pPr>
            <w:r>
              <w:rPr>
                <w:rFonts w:ascii="Arial" w:cs="Arial" w:eastAsia="Arial" w:hAnsi="Arial"/>
                <w:sz w:val="13"/>
                <w:szCs w:val="13"/>
                <w:b w:val="1"/>
                <w:bCs w:val="1"/>
                <w:color w:val="auto"/>
              </w:rPr>
              <w:t>June 30, 2023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jc w:val="right"/>
              <w:ind w:right="600"/>
              <w:spacing w:after="0"/>
              <w:rPr>
                <w:sz w:val="20"/>
                <w:szCs w:val="20"/>
                <w:color w:val="auto"/>
              </w:rPr>
            </w:pPr>
            <w:r>
              <w:rPr>
                <w:rFonts w:ascii="Arial" w:cs="Arial" w:eastAsia="Arial" w:hAnsi="Arial"/>
                <w:sz w:val="13"/>
                <w:szCs w:val="13"/>
                <w:b w:val="1"/>
                <w:bCs w:val="1"/>
                <w:color w:val="auto"/>
              </w:rPr>
              <w:t>December 31, 2022</w:t>
            </w:r>
          </w:p>
        </w:tc>
      </w:tr>
      <w:tr>
        <w:trPr>
          <w:trHeight w:val="22"/>
        </w:trPr>
        <w:tc>
          <w:tcPr>
            <w:tcW w:w="62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3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0" w:type="dxa"/>
            <w:vAlign w:val="bottom"/>
            <w:tcBorders>
              <w:bottom w:val="single" w:sz="8" w:color="CCEEFF"/>
            </w:tcBorders>
            <w:shd w:val="clear" w:color="auto" w:fill="CCEEFF"/>
          </w:tcPr>
          <w:p>
            <w:pPr>
              <w:jc w:val="right"/>
              <w:ind w:right="162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3"/>
        </w:trPr>
        <w:tc>
          <w:tcPr>
            <w:tcW w:w="6200" w:type="dxa"/>
            <w:vAlign w:val="bottom"/>
          </w:tcPr>
          <w:p>
            <w:pPr>
              <w:ind w:left="20"/>
              <w:spacing w:after="0"/>
              <w:rPr>
                <w:sz w:val="20"/>
                <w:szCs w:val="20"/>
                <w:color w:val="auto"/>
              </w:rPr>
            </w:pPr>
            <w:r>
              <w:rPr>
                <w:rFonts w:ascii="Arial" w:cs="Arial" w:eastAsia="Arial" w:hAnsi="Arial"/>
                <w:sz w:val="16"/>
                <w:szCs w:val="16"/>
                <w:color w:val="auto"/>
              </w:rPr>
              <w:t>Restricted cash and cash equivalents</w:t>
            </w:r>
          </w:p>
        </w:tc>
        <w:tc>
          <w:tcPr>
            <w:tcW w:w="1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8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6"/>
                <w:szCs w:val="16"/>
                <w:color w:val="auto"/>
              </w:rPr>
              <w:t>Customer accounts receivable</w:t>
            </w:r>
          </w:p>
        </w:tc>
        <w:tc>
          <w:tcPr>
            <w:tcW w:w="1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accounts receivable</w:t>
            </w:r>
          </w:p>
        </w:tc>
        <w:tc>
          <w:tcPr>
            <w:tcW w:w="18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color w:val="auto"/>
              </w:rPr>
              <w:t>Inventories, net</w:t>
            </w:r>
          </w:p>
        </w:tc>
        <w:tc>
          <w:tcPr>
            <w:tcW w:w="1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3"/>
        </w:trPr>
        <w:tc>
          <w:tcPr>
            <w:tcW w:w="6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and supplies</w:t>
            </w:r>
          </w:p>
        </w:tc>
        <w:tc>
          <w:tcPr>
            <w:tcW w:w="18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8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1,965</w:t>
            </w:r>
          </w:p>
        </w:tc>
      </w:tr>
      <w:tr>
        <w:trPr>
          <w:trHeight w:val="33"/>
        </w:trPr>
        <w:tc>
          <w:tcPr>
            <w:tcW w:w="6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3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8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auto"/>
              </w:rPr>
              <w:t>Total noncurrent assets</w:t>
            </w:r>
          </w:p>
        </w:tc>
        <w:tc>
          <w:tcPr>
            <w:tcW w:w="1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w:t>
            </w:r>
          </w:p>
        </w:tc>
      </w:tr>
      <w:tr>
        <w:trPr>
          <w:trHeight w:val="27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(a)</w:t>
            </w:r>
          </w:p>
        </w:tc>
        <w:tc>
          <w:tcPr>
            <w:tcW w:w="1800" w:type="dxa"/>
            <w:vAlign w:val="bottom"/>
            <w:shd w:val="clear" w:color="auto" w:fill="CCEEFF"/>
          </w:tcPr>
          <w:p>
            <w:pPr>
              <w:jc w:val="right"/>
              <w:ind w:right="162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due within one year</w:t>
            </w:r>
          </w:p>
        </w:tc>
        <w:tc>
          <w:tcPr>
            <w:tcW w:w="1800" w:type="dxa"/>
            <w:vAlign w:val="bottom"/>
            <w:shd w:val="clear" w:color="auto" w:fill="CCEEFF"/>
          </w:tcPr>
          <w:p>
            <w:pPr>
              <w:jc w:val="right"/>
              <w:ind w:right="1623"/>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24"/>
        </w:trPr>
        <w:tc>
          <w:tcPr>
            <w:tcW w:w="62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18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1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8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33"/>
        </w:trPr>
        <w:tc>
          <w:tcPr>
            <w:tcW w:w="6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18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40"/>
        </w:trPr>
        <w:tc>
          <w:tcPr>
            <w:tcW w:w="620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1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4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liabilities</w:t>
            </w:r>
          </w:p>
        </w:tc>
        <w:tc>
          <w:tcPr>
            <w:tcW w:w="18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43"/>
        </w:trPr>
        <w:tc>
          <w:tcPr>
            <w:tcW w:w="6200" w:type="dxa"/>
            <w:vAlign w:val="bottom"/>
          </w:tcPr>
          <w:p>
            <w:pPr>
              <w:ind w:left="20"/>
              <w:spacing w:after="0"/>
              <w:rPr>
                <w:sz w:val="20"/>
                <w:szCs w:val="20"/>
                <w:color w:val="auto"/>
              </w:rPr>
            </w:pPr>
            <w:r>
              <w:rPr>
                <w:rFonts w:ascii="Arial" w:cs="Arial" w:eastAsia="Arial" w:hAnsi="Arial"/>
                <w:sz w:val="16"/>
                <w:szCs w:val="16"/>
                <w:color w:val="auto"/>
              </w:rPr>
              <w:t>Total liabilities</w:t>
            </w:r>
            <w:r>
              <w:rPr>
                <w:rFonts w:ascii="Arial" w:cs="Arial" w:eastAsia="Arial" w:hAnsi="Arial"/>
                <w:sz w:val="21"/>
                <w:szCs w:val="21"/>
                <w:color w:val="auto"/>
                <w:vertAlign w:val="superscript"/>
              </w:rPr>
              <w:t>(b)</w:t>
            </w:r>
          </w:p>
        </w:tc>
        <w:tc>
          <w:tcPr>
            <w:tcW w:w="1800" w:type="dxa"/>
            <w:vAlign w:val="bottom"/>
          </w:tcPr>
          <w:p>
            <w:pPr>
              <w:jc w:val="right"/>
              <w:ind w:right="1623"/>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1,025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1,042</w:t>
            </w:r>
          </w:p>
        </w:tc>
      </w:tr>
      <w:tr>
        <w:trPr>
          <w:trHeight w:val="21"/>
        </w:trPr>
        <w:tc>
          <w:tcPr>
            <w:tcW w:w="62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jc w:val="both"/>
        <w:ind w:left="340" w:hanging="332"/>
        <w:spacing w:after="0" w:line="254"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balances include unrestricted assets for current unamortized energy contract assets of $23 million and $23 million, disclosed within other current assets in the table above, noncurrent unamortized energy contract assets of $166 million and $178 million, disclosed within other noncurrent assets in the table above as of June 30, 2023 and December 31, 2022,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balances include liabilities with recourse of $1 million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Note 15 —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and December 31, 2022, our consolidated VIEs included the following:</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920" w:type="dxa"/>
            <w:vAlign w:val="bottom"/>
          </w:tcPr>
          <w:p>
            <w:pPr>
              <w:ind w:left="1040"/>
              <w:spacing w:after="0"/>
              <w:rPr>
                <w:sz w:val="20"/>
                <w:szCs w:val="20"/>
                <w:color w:val="auto"/>
              </w:rPr>
            </w:pPr>
            <w:r>
              <w:rPr>
                <w:rFonts w:ascii="Arial" w:cs="Arial" w:eastAsia="Arial" w:hAnsi="Arial"/>
                <w:sz w:val="13"/>
                <w:szCs w:val="13"/>
                <w:b w:val="1"/>
                <w:bCs w:val="1"/>
                <w:color w:val="auto"/>
              </w:rPr>
              <w:t>Consolidated VIE or VIE groups:</w:t>
            </w:r>
          </w:p>
        </w:tc>
        <w:tc>
          <w:tcPr>
            <w:tcW w:w="4120" w:type="dxa"/>
            <w:vAlign w:val="bottom"/>
          </w:tcPr>
          <w:p>
            <w:pPr>
              <w:ind w:left="1460"/>
              <w:spacing w:after="0"/>
              <w:rPr>
                <w:sz w:val="20"/>
                <w:szCs w:val="20"/>
                <w:color w:val="auto"/>
              </w:rPr>
            </w:pPr>
            <w:r>
              <w:rPr>
                <w:rFonts w:ascii="Arial" w:cs="Arial" w:eastAsia="Arial" w:hAnsi="Arial"/>
                <w:sz w:val="13"/>
                <w:szCs w:val="13"/>
                <w:b w:val="1"/>
                <w:bCs w:val="1"/>
                <w:color w:val="auto"/>
              </w:rPr>
              <w:t>Reason entity is a VIE:</w:t>
            </w:r>
          </w:p>
        </w:tc>
        <w:tc>
          <w:tcPr>
            <w:tcW w:w="3160" w:type="dxa"/>
            <w:vAlign w:val="bottom"/>
          </w:tcPr>
          <w:p>
            <w:pPr>
              <w:ind w:left="420"/>
              <w:spacing w:after="0"/>
              <w:rPr>
                <w:sz w:val="20"/>
                <w:szCs w:val="20"/>
                <w:color w:val="auto"/>
              </w:rPr>
            </w:pPr>
            <w:r>
              <w:rPr>
                <w:rFonts w:ascii="Arial" w:cs="Arial" w:eastAsia="Arial" w:hAnsi="Arial"/>
                <w:sz w:val="13"/>
                <w:szCs w:val="13"/>
                <w:b w:val="1"/>
                <w:bCs w:val="1"/>
                <w:color w:val="auto"/>
              </w:rPr>
              <w:t>Reason we are the primary beneficiary:</w:t>
            </w:r>
          </w:p>
        </w:tc>
      </w:tr>
      <w:tr>
        <w:trPr>
          <w:trHeight w:val="35"/>
        </w:trPr>
        <w:tc>
          <w:tcPr>
            <w:tcW w:w="8040" w:type="dxa"/>
            <w:vAlign w:val="bottom"/>
            <w:tcBorders>
              <w:bottom w:val="single" w:sz="8" w:color="auto"/>
            </w:tcBorders>
            <w:gridSpan w:val="2"/>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r>
      <w:tr>
        <w:trPr>
          <w:trHeight w:val="19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CRP - A collection of wind and solar project entities. We Similar structure to a limited partnership and the limited</w:t>
            </w:r>
          </w:p>
        </w:tc>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 conduct the operational activities.</w:t>
            </w:r>
          </w:p>
        </w:tc>
      </w:tr>
      <w:tr>
        <w:trPr>
          <w:trHeight w:val="18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have a 51% equity ownership in CRP. See additional</w:t>
            </w:r>
          </w:p>
        </w:tc>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partners do not have kick out rights with respect to the</w:t>
            </w:r>
          </w:p>
        </w:tc>
        <w:tc>
          <w:tcPr>
            <w:tcW w:w="3160" w:type="dxa"/>
            <w:vAlign w:val="bottom"/>
            <w:shd w:val="clear" w:color="auto" w:fill="CCEEFF"/>
          </w:tcPr>
          <w:p>
            <w:pPr>
              <w:spacing w:after="0"/>
              <w:rPr>
                <w:sz w:val="16"/>
                <w:szCs w:val="16"/>
                <w:color w:val="auto"/>
              </w:rPr>
            </w:pPr>
          </w:p>
        </w:tc>
      </w:tr>
      <w:tr>
        <w:trPr>
          <w:trHeight w:val="207"/>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discussion below.</w:t>
            </w:r>
          </w:p>
        </w:tc>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partner.</w:t>
            </w:r>
          </w:p>
        </w:tc>
        <w:tc>
          <w:tcPr>
            <w:tcW w:w="3160" w:type="dxa"/>
            <w:vAlign w:val="bottom"/>
            <w:shd w:val="clear" w:color="auto" w:fill="CCEEFF"/>
          </w:tcPr>
          <w:p>
            <w:pPr>
              <w:spacing w:after="0"/>
              <w:rPr>
                <w:sz w:val="17"/>
                <w:szCs w:val="17"/>
                <w:color w:val="auto"/>
              </w:rPr>
            </w:pPr>
          </w:p>
        </w:tc>
      </w:tr>
      <w:tr>
        <w:trPr>
          <w:trHeight w:val="33"/>
        </w:trPr>
        <w:tc>
          <w:tcPr>
            <w:tcW w:w="39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40"/>
          </w:cols>
          <w:pgMar w:left="320" w:top="129" w:right="339" w:bottom="1440" w:gutter="0" w:footer="0" w:header="0"/>
        </w:sectPr>
      </w:pPr>
    </w:p>
    <w:p>
      <w:pPr>
        <w:ind w:left="40"/>
        <w:spacing w:after="0" w:line="276" w:lineRule="auto"/>
        <w:rPr>
          <w:sz w:val="20"/>
          <w:szCs w:val="20"/>
          <w:color w:val="auto"/>
        </w:rPr>
      </w:pPr>
      <w:r>
        <w:rPr>
          <w:rFonts w:ascii="Arial" w:cs="Arial" w:eastAsia="Arial" w:hAnsi="Arial"/>
          <w:sz w:val="16"/>
          <w:szCs w:val="16"/>
          <w:color w:val="auto"/>
        </w:rPr>
        <w:t>Bluestem Wind Energy Holdings, LLC - A Tax Equity structure which is consolidated by CRP.</w:t>
      </w:r>
    </w:p>
    <w:p>
      <w:pPr>
        <w:spacing w:after="0" w:line="20" w:lineRule="exact"/>
        <w:rPr>
          <w:sz w:val="20"/>
          <w:szCs w:val="20"/>
          <w:color w:val="auto"/>
        </w:rPr>
      </w:pPr>
      <w:r>
        <w:rPr>
          <w:sz w:val="20"/>
          <w:szCs w:val="20"/>
          <w:color w:val="auto"/>
        </w:rPr>
        <w:br w:type="column"/>
      </w:r>
    </w:p>
    <w:p>
      <w:pPr>
        <w:ind w:right="460"/>
        <w:spacing w:after="0" w:line="258" w:lineRule="auto"/>
        <w:rPr>
          <w:sz w:val="20"/>
          <w:szCs w:val="20"/>
          <w:color w:val="auto"/>
        </w:rPr>
      </w:pPr>
      <w:r>
        <w:rPr>
          <w:rFonts w:ascii="Arial" w:cs="Arial" w:eastAsia="Arial" w:hAnsi="Arial"/>
          <w:sz w:val="16"/>
          <w:szCs w:val="16"/>
          <w:color w:val="auto"/>
        </w:rPr>
        <w:t>Similar structure to a limited partnership and the limited We conduct the operational activities. partners do not have kick out rights with respect to the</w:t>
      </w:r>
    </w:p>
    <w:p>
      <w:pPr>
        <w:spacing w:after="0"/>
        <w:rPr>
          <w:sz w:val="20"/>
          <w:szCs w:val="20"/>
          <w:color w:val="auto"/>
        </w:rPr>
      </w:pPr>
      <w:r>
        <w:rPr>
          <w:rFonts w:ascii="Arial" w:cs="Arial" w:eastAsia="Arial" w:hAnsi="Arial"/>
          <w:sz w:val="16"/>
          <w:szCs w:val="16"/>
          <w:color w:val="auto"/>
        </w:rPr>
        <w:t>general partner.</w:t>
      </w:r>
    </w:p>
    <w:p>
      <w:pPr>
        <w:spacing w:after="0" w:line="39" w:lineRule="exact"/>
        <w:rPr>
          <w:sz w:val="20"/>
          <w:szCs w:val="20"/>
          <w:color w:val="auto"/>
        </w:rPr>
      </w:pPr>
    </w:p>
    <w:p>
      <w:pPr>
        <w:sectPr>
          <w:pgSz w:w="11900" w:h="16838" w:orient="portrait"/>
          <w:cols w:equalWidth="0" w:num="2">
            <w:col w:w="3780" w:space="280"/>
            <w:col w:w="7180"/>
          </w:cols>
          <w:pgMar w:left="320" w:top="129" w:right="339" w:bottom="1440" w:gutter="0" w:footer="0" w:header="0"/>
          <w:type w:val="continuous"/>
        </w:sectPr>
      </w:pPr>
    </w:p>
    <w:tbl>
      <w:tblPr>
        <w:tblLayout w:type="fixed"/>
        <w:tblInd w:w="20" w:type="dxa"/>
        <w:tblCellMar>
          <w:top w:w="0" w:type="dxa"/>
          <w:left w:w="0" w:type="dxa"/>
          <w:bottom w:w="0" w:type="dxa"/>
          <w:right w:w="0" w:type="dxa"/>
        </w:tblCellMar>
      </w:tblPr>
      <w:tr>
        <w:trPr>
          <w:trHeight w:val="205"/>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Antelope Valley - A solar generating facility, which is</w:t>
            </w: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The PPA contract absorbs variability through a</w:t>
            </w:r>
          </w:p>
        </w:tc>
        <w:tc>
          <w:tcPr>
            <w:tcW w:w="3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 conduct all activities.</w:t>
            </w:r>
          </w:p>
        </w:tc>
      </w:tr>
      <w:tr>
        <w:trPr>
          <w:trHeight w:val="20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 owned by us. Antelope Valley sells all of its</w:t>
            </w:r>
          </w:p>
        </w:tc>
        <w:tc>
          <w:tcPr>
            <w:tcW w:w="3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performance guarantee.</w:t>
            </w:r>
          </w:p>
        </w:tc>
        <w:tc>
          <w:tcPr>
            <w:tcW w:w="3480" w:type="dxa"/>
            <w:vAlign w:val="bottom"/>
            <w:shd w:val="clear" w:color="auto" w:fill="CCEEFF"/>
          </w:tcPr>
          <w:p>
            <w:pPr>
              <w:spacing w:after="0"/>
              <w:rPr>
                <w:sz w:val="17"/>
                <w:szCs w:val="17"/>
                <w:color w:val="auto"/>
              </w:rPr>
            </w:pPr>
          </w:p>
        </w:tc>
      </w:tr>
      <w:tr>
        <w:trPr>
          <w:trHeight w:val="22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output to PG&amp;E through a PPA.</w:t>
            </w:r>
          </w:p>
        </w:tc>
        <w:tc>
          <w:tcPr>
            <w:tcW w:w="384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r>
    </w:tbl>
    <w:p>
      <w:pPr>
        <w:spacing w:after="0" w:line="17" w:lineRule="exact"/>
        <w:rPr>
          <w:sz w:val="20"/>
          <w:szCs w:val="20"/>
          <w:color w:val="auto"/>
        </w:rPr>
      </w:pPr>
    </w:p>
    <w:p>
      <w:pPr>
        <w:sectPr>
          <w:pgSz w:w="11900" w:h="16838" w:orient="portrait"/>
          <w:cols w:equalWidth="0" w:num="1">
            <w:col w:w="11240"/>
          </w:cols>
          <w:pgMar w:left="320" w:top="129" w:right="339" w:bottom="1440" w:gutter="0" w:footer="0" w:header="0"/>
          <w:type w:val="continuous"/>
        </w:sectPr>
      </w:pPr>
    </w:p>
    <w:p>
      <w:pPr>
        <w:ind w:left="40" w:right="160"/>
        <w:spacing w:after="0" w:line="262" w:lineRule="auto"/>
        <w:rPr>
          <w:sz w:val="20"/>
          <w:szCs w:val="20"/>
          <w:color w:val="auto"/>
        </w:rPr>
      </w:pPr>
      <w:r>
        <w:rPr>
          <w:rFonts w:ascii="Arial" w:cs="Arial" w:eastAsia="Arial" w:hAnsi="Arial"/>
          <w:sz w:val="16"/>
          <w:szCs w:val="16"/>
          <w:color w:val="auto"/>
        </w:rPr>
        <w:t>NER - A bankruptcy remote, special purpose entity which is 100% owned by us, which purchases certain of our customer accounts receivable arising from the sale of retail electricity.</w:t>
      </w:r>
    </w:p>
    <w:p>
      <w:pPr>
        <w:spacing w:after="0" w:line="223" w:lineRule="exact"/>
        <w:rPr>
          <w:sz w:val="20"/>
          <w:szCs w:val="20"/>
          <w:color w:val="auto"/>
        </w:rPr>
      </w:pPr>
    </w:p>
    <w:p>
      <w:pPr>
        <w:ind w:left="40"/>
        <w:spacing w:after="0" w:line="262" w:lineRule="auto"/>
        <w:rPr>
          <w:sz w:val="20"/>
          <w:szCs w:val="20"/>
          <w:color w:val="auto"/>
        </w:rPr>
      </w:pPr>
      <w:r>
        <w:rPr>
          <w:rFonts w:ascii="Arial" w:cs="Arial" w:eastAsia="Arial" w:hAnsi="Arial"/>
          <w:sz w:val="16"/>
          <w:szCs w:val="16"/>
          <w:color w:val="auto"/>
        </w:rPr>
        <w:t>NER’s assets will be available first and foremost to satisfy the claims of the creditors of NER. Refer to Note 6 —Accounts Receivable for additional information on the sale of receivables.</w:t>
      </w:r>
    </w:p>
    <w:p>
      <w:pPr>
        <w:spacing w:after="0" w:line="20" w:lineRule="exact"/>
        <w:rPr>
          <w:sz w:val="20"/>
          <w:szCs w:val="20"/>
          <w:color w:val="auto"/>
        </w:rPr>
      </w:pPr>
      <w:r>
        <w:rPr>
          <w:sz w:val="20"/>
          <w:szCs w:val="20"/>
          <w:color w:val="auto"/>
        </w:rPr>
        <w:br w:type="column"/>
      </w:r>
    </w:p>
    <w:p>
      <w:pPr>
        <w:spacing w:after="0"/>
        <w:tabs>
          <w:tab w:leader="none" w:pos="4020" w:val="left"/>
        </w:tabs>
        <w:rPr>
          <w:sz w:val="20"/>
          <w:szCs w:val="20"/>
          <w:color w:val="auto"/>
        </w:rPr>
      </w:pPr>
      <w:r>
        <w:rPr>
          <w:rFonts w:ascii="Arial" w:cs="Arial" w:eastAsia="Arial" w:hAnsi="Arial"/>
          <w:sz w:val="16"/>
          <w:szCs w:val="16"/>
          <w:color w:val="auto"/>
        </w:rPr>
        <w:t>Equity capitalization is insufficient to support its</w:t>
      </w:r>
      <w:r>
        <w:rPr>
          <w:sz w:val="20"/>
          <w:szCs w:val="20"/>
          <w:color w:val="auto"/>
        </w:rPr>
        <w:tab/>
      </w:r>
      <w:r>
        <w:rPr>
          <w:rFonts w:ascii="Arial" w:cs="Arial" w:eastAsia="Arial" w:hAnsi="Arial"/>
          <w:sz w:val="16"/>
          <w:szCs w:val="16"/>
          <w:color w:val="auto"/>
        </w:rPr>
        <w:t>We conduct all activities.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644" w:lineRule="exact"/>
        <w:rPr>
          <w:sz w:val="20"/>
          <w:szCs w:val="20"/>
          <w:color w:val="auto"/>
        </w:rPr>
      </w:pPr>
    </w:p>
    <w:p>
      <w:pPr>
        <w:sectPr>
          <w:pgSz w:w="11900" w:h="16838" w:orient="portrait"/>
          <w:cols w:equalWidth="0" w:num="2">
            <w:col w:w="4020" w:space="40"/>
            <w:col w:w="7180"/>
          </w:cols>
          <w:pgMar w:left="320" w:top="129" w:right="339" w:bottom="1440" w:gutter="0" w:footer="0" w:header="0"/>
          <w:type w:val="continuous"/>
        </w:sectPr>
      </w:pPr>
    </w:p>
    <w:p>
      <w:pPr>
        <w:spacing w:after="0" w:line="4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CRP </w:t>
      </w:r>
      <w:r>
        <w:rPr>
          <w:rFonts w:ascii="Arial" w:cs="Arial" w:eastAsia="Arial" w:hAnsi="Arial"/>
          <w:sz w:val="16"/>
          <w:szCs w:val="16"/>
          <w:color w:val="auto"/>
        </w:rPr>
        <w:t>- CRP is a collection of wind and solar project entities and some of these project entities are VIEs that are consolidated by CRP. While we or CRP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 of the solar entities and 100% of the majority of the wind entities, it has been determined that the wholly owned solar and wind entities are VIEs because the entities' customers absorb price variability from the entities through fixed price power and/or REC purchase agreements. Additionally, for the wind entities that have minority interests, it has been determined that these entities are VIEs because the governance rights of some investors are not proportional to their financial rights. We are the primary beneficiary of these solar and wind entities that qualify as VIEs because we control operations and direct all activities of the facilities. There is limited recourse to us related to certain solar and wind entities.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2017, our interests in CRP were contributed to and are pledged for the CR non-recourse debt project financing structure. Refer to Note 17 — Debt and Credit Agreements of our 2022 Form 10-K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Unconsolidated VIEs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variable interests in unconsolidated VIEs generally include equity investments and energy purchase and sale contracts. For the equity investments, the carrying amount of the investments is reflected in the Consolidated Balance Sheets in Investments. For the energy purchase and sale contracts (commercial agreements), the carrying amount of assets and liabilities in the Consolidated Balance Sheets that relate to our involvement with the VIEs are predominantly related to working capital accounts and generally represent the amounts owed by, or owed to, us for the deliveries associated with the current billing cycles under the commercial agreements.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2023 and December 31, 2022, we had significant unconsolidated variable interests in several VIEs for which we were not the primary beneficiary. These interests include certain equity method investments and certain commercial agreements.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Note 15 —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summary information about our significant unconsolidated VIE entities: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w w:val="99"/>
              </w:rPr>
              <w:t>June 30, 2023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gridSpan w:val="5"/>
          </w:tcPr>
          <w:p>
            <w:pPr>
              <w:ind w:left="20"/>
              <w:spacing w:after="0"/>
              <w:rPr>
                <w:sz w:val="20"/>
                <w:szCs w:val="20"/>
                <w:color w:val="auto"/>
              </w:rPr>
            </w:pPr>
            <w:r>
              <w:rPr>
                <w:rFonts w:ascii="Arial" w:cs="Arial" w:eastAsia="Arial" w:hAnsi="Arial"/>
                <w:sz w:val="13"/>
                <w:szCs w:val="13"/>
                <w:b w:val="1"/>
                <w:bCs w:val="1"/>
                <w:color w:val="auto"/>
              </w:rPr>
              <w:t>December 31, 2022</w:t>
            </w:r>
          </w:p>
        </w:tc>
        <w:tc>
          <w:tcPr>
            <w:tcW w:w="760" w:type="dxa"/>
            <w:vAlign w:val="bottom"/>
          </w:tcPr>
          <w:p>
            <w:pPr>
              <w:spacing w:after="0"/>
              <w:rPr>
                <w:sz w:val="15"/>
                <w:szCs w:val="15"/>
                <w:color w:val="auto"/>
              </w:rPr>
            </w:pPr>
          </w:p>
        </w:tc>
      </w:tr>
      <w:tr>
        <w:trPr>
          <w:trHeight w:val="35"/>
        </w:trPr>
        <w:tc>
          <w:tcPr>
            <w:tcW w:w="3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47"/>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2"/>
              <w:spacing w:after="0" w:line="148" w:lineRule="exact"/>
              <w:rPr>
                <w:sz w:val="20"/>
                <w:szCs w:val="20"/>
                <w:color w:val="auto"/>
              </w:rPr>
            </w:pPr>
            <w:r>
              <w:rPr>
                <w:rFonts w:ascii="Arial" w:cs="Arial" w:eastAsia="Arial" w:hAnsi="Arial"/>
                <w:sz w:val="13"/>
                <w:szCs w:val="13"/>
                <w:b w:val="1"/>
                <w:bCs w:val="1"/>
                <w:color w:val="auto"/>
                <w:w w:val="96"/>
              </w:rPr>
              <w:t>Commercial</w:t>
            </w:r>
          </w:p>
        </w:tc>
        <w:tc>
          <w:tcPr>
            <w:tcW w:w="140" w:type="dxa"/>
            <w:vAlign w:val="bottom"/>
          </w:tcPr>
          <w:p>
            <w:pPr>
              <w:spacing w:after="0"/>
              <w:rPr>
                <w:sz w:val="12"/>
                <w:szCs w:val="12"/>
                <w:color w:val="auto"/>
              </w:rPr>
            </w:pPr>
          </w:p>
        </w:tc>
        <w:tc>
          <w:tcPr>
            <w:tcW w:w="960" w:type="dxa"/>
            <w:vAlign w:val="bottom"/>
          </w:tcPr>
          <w:p>
            <w:pPr>
              <w:jc w:val="center"/>
              <w:ind w:left="177"/>
              <w:spacing w:after="0" w:line="148"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2"/>
              <w:spacing w:after="0" w:line="148" w:lineRule="exact"/>
              <w:rPr>
                <w:sz w:val="20"/>
                <w:szCs w:val="20"/>
                <w:color w:val="auto"/>
              </w:rPr>
            </w:pPr>
            <w:r>
              <w:rPr>
                <w:rFonts w:ascii="Arial" w:cs="Arial" w:eastAsia="Arial" w:hAnsi="Arial"/>
                <w:sz w:val="13"/>
                <w:szCs w:val="13"/>
                <w:b w:val="1"/>
                <w:bCs w:val="1"/>
                <w:color w:val="auto"/>
                <w:w w:val="96"/>
              </w:rPr>
              <w:t>Commercial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right="520"/>
              <w:spacing w:after="0" w:line="148" w:lineRule="exact"/>
              <w:rPr>
                <w:sz w:val="20"/>
                <w:szCs w:val="20"/>
                <w:color w:val="auto"/>
              </w:rPr>
            </w:pPr>
            <w:r>
              <w:rPr>
                <w:rFonts w:ascii="Arial" w:cs="Arial" w:eastAsia="Arial" w:hAnsi="Arial"/>
                <w:sz w:val="13"/>
                <w:szCs w:val="13"/>
                <w:b w:val="1"/>
                <w:bCs w:val="1"/>
                <w:color w:val="auto"/>
                <w:w w:val="95"/>
              </w:rPr>
              <w:t>Equity</w:t>
            </w:r>
          </w:p>
        </w:tc>
        <w:tc>
          <w:tcPr>
            <w:tcW w:w="760" w:type="dxa"/>
            <w:vAlign w:val="bottom"/>
          </w:tcPr>
          <w:p>
            <w:pPr>
              <w:spacing w:after="0"/>
              <w:rPr>
                <w:sz w:val="12"/>
                <w:szCs w:val="12"/>
                <w:color w:val="auto"/>
              </w:rPr>
            </w:pPr>
          </w:p>
        </w:tc>
      </w:tr>
      <w:tr>
        <w:trPr>
          <w:trHeight w:val="148"/>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12"/>
              <w:spacing w:after="0"/>
              <w:rPr>
                <w:sz w:val="20"/>
                <w:szCs w:val="20"/>
                <w:color w:val="auto"/>
              </w:rPr>
            </w:pPr>
            <w:r>
              <w:rPr>
                <w:rFonts w:ascii="Arial" w:cs="Arial" w:eastAsia="Arial" w:hAnsi="Arial"/>
                <w:sz w:val="13"/>
                <w:szCs w:val="13"/>
                <w:b w:val="1"/>
                <w:bCs w:val="1"/>
                <w:color w:val="auto"/>
                <w:w w:val="97"/>
              </w:rPr>
              <w:t>Agreement</w:t>
            </w:r>
          </w:p>
        </w:tc>
        <w:tc>
          <w:tcPr>
            <w:tcW w:w="140" w:type="dxa"/>
            <w:vAlign w:val="bottom"/>
          </w:tcPr>
          <w:p>
            <w:pPr>
              <w:spacing w:after="0"/>
              <w:rPr>
                <w:sz w:val="12"/>
                <w:szCs w:val="12"/>
                <w:color w:val="auto"/>
              </w:rPr>
            </w:pPr>
          </w:p>
        </w:tc>
        <w:tc>
          <w:tcPr>
            <w:tcW w:w="960" w:type="dxa"/>
            <w:vAlign w:val="bottom"/>
          </w:tcPr>
          <w:p>
            <w:pPr>
              <w:jc w:val="center"/>
              <w:ind w:left="177"/>
              <w:spacing w:after="0"/>
              <w:rPr>
                <w:sz w:val="20"/>
                <w:szCs w:val="20"/>
                <w:color w:val="auto"/>
              </w:rPr>
            </w:pPr>
            <w:r>
              <w:rPr>
                <w:rFonts w:ascii="Arial" w:cs="Arial" w:eastAsia="Arial" w:hAnsi="Arial"/>
                <w:sz w:val="13"/>
                <w:szCs w:val="13"/>
                <w:b w:val="1"/>
                <w:bCs w:val="1"/>
                <w:color w:val="auto"/>
                <w:w w:val="99"/>
              </w:rPr>
              <w:t>Investment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32"/>
              <w:spacing w:after="0"/>
              <w:rPr>
                <w:sz w:val="20"/>
                <w:szCs w:val="20"/>
                <w:color w:val="auto"/>
              </w:rPr>
            </w:pPr>
            <w:r>
              <w:rPr>
                <w:rFonts w:ascii="Arial" w:cs="Arial" w:eastAsia="Arial" w:hAnsi="Arial"/>
                <w:sz w:val="13"/>
                <w:szCs w:val="13"/>
                <w:b w:val="1"/>
                <w:bCs w:val="1"/>
                <w:color w:val="auto"/>
                <w:w w:val="97"/>
              </w:rPr>
              <w:t>Agreement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6"/>
              </w:rPr>
              <w:t>Investment</w:t>
            </w:r>
          </w:p>
        </w:tc>
        <w:tc>
          <w:tcPr>
            <w:tcW w:w="760" w:type="dxa"/>
            <w:vAlign w:val="bottom"/>
          </w:tcPr>
          <w:p>
            <w:pPr>
              <w:spacing w:after="0"/>
              <w:rPr>
                <w:sz w:val="12"/>
                <w:szCs w:val="12"/>
                <w:color w:val="auto"/>
              </w:rPr>
            </w:pPr>
          </w:p>
        </w:tc>
      </w:tr>
      <w:tr>
        <w:trPr>
          <w:trHeight w:val="176"/>
        </w:trPr>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32"/>
              <w:spacing w:after="0"/>
              <w:rPr>
                <w:sz w:val="20"/>
                <w:szCs w:val="20"/>
                <w:color w:val="auto"/>
              </w:rPr>
            </w:pPr>
            <w:r>
              <w:rPr>
                <w:rFonts w:ascii="Arial" w:cs="Arial" w:eastAsia="Arial" w:hAnsi="Arial"/>
                <w:sz w:val="13"/>
                <w:szCs w:val="13"/>
                <w:b w:val="1"/>
                <w:bCs w:val="1"/>
                <w:color w:val="auto"/>
                <w:w w:val="99"/>
              </w:rPr>
              <w:t>VIEs</w:t>
            </w:r>
          </w:p>
        </w:tc>
        <w:tc>
          <w:tcPr>
            <w:tcW w:w="140" w:type="dxa"/>
            <w:vAlign w:val="bottom"/>
          </w:tcPr>
          <w:p>
            <w:pPr>
              <w:spacing w:after="0"/>
              <w:rPr>
                <w:sz w:val="15"/>
                <w:szCs w:val="15"/>
                <w:color w:val="auto"/>
              </w:rPr>
            </w:pPr>
          </w:p>
        </w:tc>
        <w:tc>
          <w:tcPr>
            <w:tcW w:w="960" w:type="dxa"/>
            <w:vAlign w:val="bottom"/>
          </w:tcPr>
          <w:p>
            <w:pPr>
              <w:jc w:val="center"/>
              <w:ind w:left="177"/>
              <w:spacing w:after="0"/>
              <w:rPr>
                <w:sz w:val="20"/>
                <w:szCs w:val="20"/>
                <w:color w:val="auto"/>
              </w:rPr>
            </w:pPr>
            <w:r>
              <w:rPr>
                <w:rFonts w:ascii="Arial" w:cs="Arial" w:eastAsia="Arial" w:hAnsi="Arial"/>
                <w:sz w:val="13"/>
                <w:szCs w:val="13"/>
                <w:b w:val="1"/>
                <w:bCs w:val="1"/>
                <w:color w:val="auto"/>
                <w:w w:val="99"/>
              </w:rPr>
              <w:t>VIEs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32"/>
              <w:spacing w:after="0"/>
              <w:rPr>
                <w:sz w:val="20"/>
                <w:szCs w:val="20"/>
                <w:color w:val="auto"/>
              </w:rPr>
            </w:pPr>
            <w:r>
              <w:rPr>
                <w:rFonts w:ascii="Arial" w:cs="Arial" w:eastAsia="Arial" w:hAnsi="Arial"/>
                <w:sz w:val="13"/>
                <w:szCs w:val="13"/>
                <w:b w:val="1"/>
                <w:bCs w:val="1"/>
                <w:color w:val="auto"/>
                <w:w w:val="92"/>
              </w:rPr>
              <w:t>VIEs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2"/>
              </w:rPr>
              <w:t>VIEs</w:t>
            </w:r>
          </w:p>
        </w:tc>
        <w:tc>
          <w:tcPr>
            <w:tcW w:w="760" w:type="dxa"/>
            <w:vAlign w:val="bottom"/>
          </w:tcPr>
          <w:p>
            <w:pPr>
              <w:jc w:val="right"/>
              <w:ind w:right="270"/>
              <w:spacing w:after="0"/>
              <w:rPr>
                <w:sz w:val="20"/>
                <w:szCs w:val="20"/>
                <w:color w:val="auto"/>
              </w:rPr>
            </w:pPr>
            <w:r>
              <w:rPr>
                <w:rFonts w:ascii="Arial" w:cs="Arial" w:eastAsia="Arial" w:hAnsi="Arial"/>
                <w:sz w:val="13"/>
                <w:szCs w:val="13"/>
                <w:b w:val="1"/>
                <w:bCs w:val="1"/>
                <w:color w:val="auto"/>
              </w:rPr>
              <w:t>Total</w:t>
            </w:r>
          </w:p>
        </w:tc>
      </w:tr>
      <w:tr>
        <w:trPr>
          <w:trHeight w:val="22"/>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r>
              <w:rPr>
                <w:rFonts w:ascii="Arial" w:cs="Arial" w:eastAsia="Arial" w:hAnsi="Arial"/>
                <w:sz w:val="18"/>
                <w:szCs w:val="18"/>
                <w:color w:val="auto"/>
                <w:vertAlign w:val="superscript"/>
              </w:rPr>
              <w:t>(a)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100" w:type="dxa"/>
            <w:vAlign w:val="bottom"/>
            <w:gridSpan w:val="2"/>
            <w:shd w:val="clear" w:color="auto" w:fill="CCEEFF"/>
          </w:tcPr>
          <w:p>
            <w:pPr>
              <w:jc w:val="right"/>
              <w:ind w:right="817"/>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716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r>
      <w:tr>
        <w:trPr>
          <w:trHeight w:val="229"/>
        </w:trPr>
        <w:tc>
          <w:tcPr>
            <w:tcW w:w="3620" w:type="dxa"/>
            <w:vAlign w:val="bottom"/>
          </w:tcPr>
          <w:p>
            <w:pPr>
              <w:ind w:left="20"/>
              <w:spacing w:after="0"/>
              <w:rPr>
                <w:sz w:val="20"/>
                <w:szCs w:val="20"/>
                <w:color w:val="auto"/>
              </w:rPr>
            </w:pPr>
            <w:r>
              <w:rPr>
                <w:rFonts w:ascii="Arial" w:cs="Arial" w:eastAsia="Arial" w:hAnsi="Arial"/>
                <w:sz w:val="14"/>
                <w:szCs w:val="14"/>
                <w:color w:val="auto"/>
              </w:rPr>
              <w:t>Total liabilities</w:t>
            </w:r>
            <w:r>
              <w:rPr>
                <w:rFonts w:ascii="Arial" w:cs="Arial" w:eastAsia="Arial" w:hAnsi="Arial"/>
                <w:sz w:val="18"/>
                <w:szCs w:val="18"/>
                <w:color w:val="auto"/>
                <w:vertAlign w:val="superscript"/>
              </w:rPr>
              <w:t>(a)</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Our ownership interest in VIE</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3620" w:type="dxa"/>
            <w:vAlign w:val="bottom"/>
          </w:tcPr>
          <w:p>
            <w:pPr>
              <w:ind w:left="20"/>
              <w:spacing w:after="0"/>
              <w:rPr>
                <w:sz w:val="20"/>
                <w:szCs w:val="20"/>
                <w:color w:val="auto"/>
              </w:rPr>
            </w:pPr>
            <w:r>
              <w:rPr>
                <w:rFonts w:ascii="Arial" w:cs="Arial" w:eastAsia="Arial" w:hAnsi="Arial"/>
                <w:sz w:val="14"/>
                <w:szCs w:val="14"/>
                <w:color w:val="auto"/>
              </w:rPr>
              <w:t>Other ownership interests in VIE</w:t>
            </w:r>
            <w:r>
              <w:rPr>
                <w:rFonts w:ascii="Arial" w:cs="Arial" w:eastAsia="Arial" w:hAnsi="Arial"/>
                <w:sz w:val="9"/>
                <w:szCs w:val="9"/>
                <w:color w:val="auto"/>
              </w:rPr>
              <w:t>(a)</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639</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2"/>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661</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jc w:val="both"/>
        <w:ind w:left="340" w:hanging="332"/>
        <w:spacing w:after="0" w:line="262"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These items represent amounts on the unconsolidated VIE balance sheets, not in the Consolidated Balance Sheets. These items are included to provide information regarding the relative size of the unconsolidated VIEs. We do not have any exposure to loss as we do not have a carrying amount in the equity investment VIEs as of June 30, 2023 and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and December 31, 2022 the unconsolidated VIEs consist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ind w:left="1620"/>
              <w:spacing w:after="0"/>
              <w:rPr>
                <w:sz w:val="20"/>
                <w:szCs w:val="20"/>
                <w:color w:val="auto"/>
              </w:rPr>
            </w:pPr>
            <w:r>
              <w:rPr>
                <w:rFonts w:ascii="Arial" w:cs="Arial" w:eastAsia="Arial" w:hAnsi="Arial"/>
                <w:sz w:val="13"/>
                <w:szCs w:val="13"/>
                <w:b w:val="1"/>
                <w:bCs w:val="1"/>
                <w:color w:val="auto"/>
              </w:rPr>
              <w:t>Unconsolidated VIE groups:</w:t>
            </w:r>
          </w:p>
        </w:tc>
        <w:tc>
          <w:tcPr>
            <w:tcW w:w="3020" w:type="dxa"/>
            <w:vAlign w:val="bottom"/>
          </w:tcPr>
          <w:p>
            <w:pPr>
              <w:ind w:left="860"/>
              <w:spacing w:after="0"/>
              <w:rPr>
                <w:sz w:val="20"/>
                <w:szCs w:val="20"/>
                <w:color w:val="auto"/>
              </w:rPr>
            </w:pPr>
            <w:r>
              <w:rPr>
                <w:rFonts w:ascii="Arial" w:cs="Arial" w:eastAsia="Arial" w:hAnsi="Arial"/>
                <w:sz w:val="13"/>
                <w:szCs w:val="13"/>
                <w:b w:val="1"/>
                <w:bCs w:val="1"/>
                <w:color w:val="auto"/>
              </w:rPr>
              <w:t>Reason entity is a VIE:</w:t>
            </w:r>
          </w:p>
        </w:tc>
        <w:tc>
          <w:tcPr>
            <w:tcW w:w="3260" w:type="dxa"/>
            <w:vAlign w:val="bottom"/>
          </w:tcPr>
          <w:p>
            <w:pPr>
              <w:ind w:left="360"/>
              <w:spacing w:after="0"/>
              <w:rPr>
                <w:sz w:val="20"/>
                <w:szCs w:val="20"/>
                <w:color w:val="auto"/>
              </w:rPr>
            </w:pPr>
            <w:r>
              <w:rPr>
                <w:rFonts w:ascii="Arial" w:cs="Arial" w:eastAsia="Arial" w:hAnsi="Arial"/>
                <w:sz w:val="13"/>
                <w:szCs w:val="13"/>
                <w:b w:val="1"/>
                <w:bCs w:val="1"/>
                <w:color w:val="auto"/>
              </w:rPr>
              <w:t>Reason we are not the primary beneficiary:</w:t>
            </w: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191"/>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investments in distributed energy companies.</w:t>
            </w:r>
          </w:p>
        </w:tc>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Similar structures to a limited partnership and</w:t>
            </w:r>
          </w:p>
        </w:tc>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 do not conduct the operational activities.</w:t>
            </w:r>
          </w:p>
        </w:tc>
      </w:tr>
      <w:tr>
        <w:trPr>
          <w:trHeight w:val="162"/>
        </w:trPr>
        <w:tc>
          <w:tcPr>
            <w:tcW w:w="4900" w:type="dxa"/>
            <w:vAlign w:val="bottom"/>
            <w:shd w:val="clear" w:color="auto" w:fill="CCEEFF"/>
          </w:tcPr>
          <w:p>
            <w:pPr>
              <w:spacing w:after="0"/>
              <w:rPr>
                <w:sz w:val="14"/>
                <w:szCs w:val="14"/>
                <w:color w:val="auto"/>
              </w:rPr>
            </w:pPr>
          </w:p>
        </w:tc>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limited partners do not have kick-out rights</w:t>
            </w:r>
          </w:p>
        </w:tc>
        <w:tc>
          <w:tcPr>
            <w:tcW w:w="3260" w:type="dxa"/>
            <w:vAlign w:val="bottom"/>
            <w:shd w:val="clear" w:color="auto" w:fill="CCEEFF"/>
          </w:tcPr>
          <w:p>
            <w:pPr>
              <w:spacing w:after="0"/>
              <w:rPr>
                <w:sz w:val="14"/>
                <w:szCs w:val="14"/>
                <w:color w:val="auto"/>
              </w:rPr>
            </w:pPr>
          </w:p>
        </w:tc>
      </w:tr>
      <w:tr>
        <w:trPr>
          <w:trHeight w:val="17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 sold this investment in the fourth quarter of 2022 resulting in it no longer</w:t>
            </w:r>
          </w:p>
        </w:tc>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with respect to the general partner.</w:t>
            </w:r>
          </w:p>
        </w:tc>
        <w:tc>
          <w:tcPr>
            <w:tcW w:w="3260" w:type="dxa"/>
            <w:vAlign w:val="bottom"/>
            <w:shd w:val="clear" w:color="auto" w:fill="CCEEFF"/>
          </w:tcPr>
          <w:p>
            <w:pPr>
              <w:spacing w:after="0"/>
              <w:rPr>
                <w:sz w:val="15"/>
                <w:szCs w:val="15"/>
                <w:color w:val="auto"/>
              </w:rPr>
            </w:pPr>
          </w:p>
        </w:tc>
      </w:tr>
      <w:tr>
        <w:trPr>
          <w:trHeight w:val="18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being classified as an unconsolidated VIE.</w:t>
            </w:r>
          </w:p>
        </w:tc>
        <w:tc>
          <w:tcPr>
            <w:tcW w:w="3020" w:type="dxa"/>
            <w:vAlign w:val="bottom"/>
            <w:tcBorders>
              <w:bottom w:val="single" w:sz="8" w:color="CCEEFF"/>
            </w:tcBorders>
            <w:shd w:val="clear" w:color="auto" w:fill="CCEEFF"/>
          </w:tcPr>
          <w:p>
            <w:pPr>
              <w:spacing w:after="0"/>
              <w:rPr>
                <w:sz w:val="16"/>
                <w:szCs w:val="16"/>
                <w:color w:val="auto"/>
              </w:rPr>
            </w:pPr>
          </w:p>
        </w:tc>
        <w:tc>
          <w:tcPr>
            <w:tcW w:w="3260" w:type="dxa"/>
            <w:vAlign w:val="bottom"/>
            <w:tcBorders>
              <w:bottom w:val="single" w:sz="8" w:color="CCEEFF"/>
            </w:tcBorders>
            <w:shd w:val="clear" w:color="auto" w:fill="CCEEFF"/>
          </w:tcPr>
          <w:p>
            <w:pPr>
              <w:spacing w:after="0"/>
              <w:rPr>
                <w:sz w:val="16"/>
                <w:szCs w:val="16"/>
                <w:color w:val="auto"/>
              </w:rPr>
            </w:pPr>
          </w:p>
        </w:tc>
      </w:tr>
      <w:tr>
        <w:trPr>
          <w:trHeight w:val="197"/>
        </w:trPr>
        <w:tc>
          <w:tcPr>
            <w:tcW w:w="4900" w:type="dxa"/>
            <w:vAlign w:val="bottom"/>
          </w:tcPr>
          <w:p>
            <w:pPr>
              <w:ind w:left="20"/>
              <w:spacing w:after="0"/>
              <w:rPr>
                <w:sz w:val="20"/>
                <w:szCs w:val="20"/>
                <w:color w:val="auto"/>
              </w:rPr>
            </w:pPr>
            <w:r>
              <w:rPr>
                <w:rFonts w:ascii="Arial" w:cs="Arial" w:eastAsia="Arial" w:hAnsi="Arial"/>
                <w:sz w:val="14"/>
                <w:szCs w:val="14"/>
                <w:color w:val="auto"/>
              </w:rPr>
              <w:t>Energy Purchase and Sale agreements - We have several energy purchase</w:t>
            </w:r>
          </w:p>
        </w:tc>
        <w:tc>
          <w:tcPr>
            <w:tcW w:w="3020" w:type="dxa"/>
            <w:vAlign w:val="bottom"/>
          </w:tcPr>
          <w:p>
            <w:pPr>
              <w:ind w:left="40"/>
              <w:spacing w:after="0"/>
              <w:rPr>
                <w:sz w:val="20"/>
                <w:szCs w:val="20"/>
                <w:color w:val="auto"/>
              </w:rPr>
            </w:pPr>
            <w:r>
              <w:rPr>
                <w:rFonts w:ascii="Arial" w:cs="Arial" w:eastAsia="Arial" w:hAnsi="Arial"/>
                <w:sz w:val="14"/>
                <w:szCs w:val="14"/>
                <w:color w:val="auto"/>
              </w:rPr>
              <w:t>PPA contracts that absorb variability through</w:t>
            </w:r>
          </w:p>
        </w:tc>
        <w:tc>
          <w:tcPr>
            <w:tcW w:w="3260" w:type="dxa"/>
            <w:vAlign w:val="bottom"/>
          </w:tcPr>
          <w:p>
            <w:pPr>
              <w:ind w:left="40"/>
              <w:spacing w:after="0"/>
              <w:rPr>
                <w:sz w:val="20"/>
                <w:szCs w:val="20"/>
                <w:color w:val="auto"/>
              </w:rPr>
            </w:pPr>
            <w:r>
              <w:rPr>
                <w:rFonts w:ascii="Arial" w:cs="Arial" w:eastAsia="Arial" w:hAnsi="Arial"/>
                <w:sz w:val="14"/>
                <w:szCs w:val="14"/>
                <w:color w:val="auto"/>
              </w:rPr>
              <w:t>We do not conduct the operational activities.</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color w:val="auto"/>
              </w:rPr>
              <w:t>and sale agreements with generating facilities.</w:t>
            </w:r>
          </w:p>
        </w:tc>
        <w:tc>
          <w:tcPr>
            <w:tcW w:w="3020" w:type="dxa"/>
            <w:vAlign w:val="bottom"/>
          </w:tcPr>
          <w:p>
            <w:pPr>
              <w:ind w:left="40"/>
              <w:spacing w:after="0"/>
              <w:rPr>
                <w:sz w:val="20"/>
                <w:szCs w:val="20"/>
                <w:color w:val="auto"/>
              </w:rPr>
            </w:pPr>
            <w:r>
              <w:rPr>
                <w:rFonts w:ascii="Arial" w:cs="Arial" w:eastAsia="Arial" w:hAnsi="Arial"/>
                <w:sz w:val="14"/>
                <w:szCs w:val="14"/>
                <w:color w:val="auto"/>
              </w:rPr>
              <w:t>fixed pricing.</w:t>
            </w:r>
          </w:p>
        </w:tc>
        <w:tc>
          <w:tcPr>
            <w:tcW w:w="3260" w:type="dxa"/>
            <w:vAlign w:val="bottom"/>
          </w:tcPr>
          <w:p>
            <w:pPr>
              <w:spacing w:after="0"/>
              <w:rPr>
                <w:sz w:val="15"/>
                <w:szCs w:val="15"/>
                <w:color w:val="auto"/>
              </w:rPr>
            </w:pPr>
          </w:p>
        </w:tc>
      </w:tr>
    </w:tbl>
    <w:p>
      <w:pPr>
        <w:spacing w:after="0" w:line="250" w:lineRule="exact"/>
        <w:rPr>
          <w:sz w:val="20"/>
          <w:szCs w:val="20"/>
          <w:color w:val="auto"/>
        </w:rPr>
      </w:pPr>
    </w:p>
    <w:p>
      <w:pPr>
        <w:ind w:right="7300" w:firstLine="8"/>
        <w:spacing w:after="0" w:line="471" w:lineRule="auto"/>
        <w:tabs>
          <w:tab w:leader="none" w:pos="27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Financial Information Supplemental Statement of Operations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additional information about material items recorded in the Consolidated Statements of Operations and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8"/>
              </w:rPr>
              <w:t>Operating revenues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gridSpan w:val="5"/>
          </w:tcPr>
          <w:p>
            <w:pPr>
              <w:jc w:val="right"/>
              <w:ind w:right="37"/>
              <w:spacing w:after="0"/>
              <w:rPr>
                <w:sz w:val="20"/>
                <w:szCs w:val="20"/>
                <w:color w:val="auto"/>
              </w:rPr>
            </w:pPr>
            <w:r>
              <w:rPr>
                <w:rFonts w:ascii="Arial" w:cs="Arial" w:eastAsia="Arial" w:hAnsi="Arial"/>
                <w:sz w:val="13"/>
                <w:szCs w:val="13"/>
                <w:b w:val="1"/>
                <w:bCs w:val="1"/>
                <w:color w:val="auto"/>
              </w:rPr>
              <w:t>Three Months Ended June 30,</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40" w:type="dxa"/>
            <w:vAlign w:val="bottom"/>
            <w:gridSpan w:val="6"/>
          </w:tcPr>
          <w:p>
            <w:pPr>
              <w:jc w:val="right"/>
              <w:ind w:right="664"/>
              <w:spacing w:after="0"/>
              <w:rPr>
                <w:sz w:val="20"/>
                <w:szCs w:val="20"/>
                <w:color w:val="auto"/>
              </w:rPr>
            </w:pPr>
            <w:r>
              <w:rPr>
                <w:rFonts w:ascii="Arial" w:cs="Arial" w:eastAsia="Arial" w:hAnsi="Arial"/>
                <w:sz w:val="13"/>
                <w:szCs w:val="13"/>
                <w:b w:val="1"/>
                <w:bCs w:val="1"/>
                <w:color w:val="auto"/>
              </w:rPr>
              <w:t>Six Months Ended June 30,</w:t>
            </w:r>
          </w:p>
        </w:tc>
      </w:tr>
      <w:tr>
        <w:trPr>
          <w:trHeight w:val="22"/>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8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27"/>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Arial" w:cs="Arial" w:eastAsia="Arial" w:hAnsi="Arial"/>
                <w:sz w:val="13"/>
                <w:szCs w:val="13"/>
                <w:b w:val="1"/>
                <w:bCs w:val="1"/>
                <w:color w:val="auto"/>
              </w:rPr>
              <w:t>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income</w:t>
            </w:r>
          </w:p>
        </w:tc>
        <w:tc>
          <w:tcPr>
            <w:tcW w:w="1080" w:type="dxa"/>
            <w:vAlign w:val="bottom"/>
            <w:gridSpan w:val="2"/>
            <w:shd w:val="clear" w:color="auto" w:fill="CCEEFF"/>
          </w:tcPr>
          <w:p>
            <w:pPr>
              <w:jc w:val="right"/>
              <w:ind w:right="897"/>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40" w:type="dxa"/>
            <w:vAlign w:val="bottom"/>
            <w:gridSpan w:val="3"/>
            <w:shd w:val="clear" w:color="auto" w:fill="CCEEFF"/>
          </w:tcPr>
          <w:p>
            <w:pPr>
              <w:jc w:val="right"/>
              <w:ind w:right="757"/>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700" w:type="dxa"/>
            <w:vAlign w:val="bottom"/>
            <w:gridSpan w:val="4"/>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w:t>
            </w: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Variable lease income</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127</w:t>
            </w:r>
          </w:p>
        </w:tc>
      </w:tr>
      <w:tr>
        <w:trPr>
          <w:trHeight w:val="41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gridSpan w:val="7"/>
          </w:tcPr>
          <w:p>
            <w:pPr>
              <w:jc w:val="right"/>
              <w:ind w:right="547"/>
              <w:spacing w:after="0"/>
              <w:rPr>
                <w:sz w:val="20"/>
                <w:szCs w:val="20"/>
                <w:color w:val="auto"/>
              </w:rPr>
            </w:pPr>
            <w:r>
              <w:rPr>
                <w:rFonts w:ascii="Arial" w:cs="Arial" w:eastAsia="Arial" w:hAnsi="Arial"/>
                <w:sz w:val="13"/>
                <w:szCs w:val="13"/>
                <w:b w:val="1"/>
                <w:bCs w:val="1"/>
                <w:color w:val="auto"/>
              </w:rPr>
              <w:t>Taxes other than income taxes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gridSpan w:val="5"/>
          </w:tcPr>
          <w:p>
            <w:pPr>
              <w:jc w:val="right"/>
              <w:ind w:right="17"/>
              <w:spacing w:after="0"/>
              <w:rPr>
                <w:sz w:val="20"/>
                <w:szCs w:val="20"/>
                <w:color w:val="auto"/>
              </w:rPr>
            </w:pPr>
            <w:r>
              <w:rPr>
                <w:rFonts w:ascii="Arial" w:cs="Arial" w:eastAsia="Arial" w:hAnsi="Arial"/>
                <w:sz w:val="13"/>
                <w:szCs w:val="13"/>
                <w:b w:val="1"/>
                <w:bCs w:val="1"/>
                <w:color w:val="auto"/>
              </w:rPr>
              <w:t>Three Months Ended June 30,</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540" w:type="dxa"/>
            <w:vAlign w:val="bottom"/>
            <w:gridSpan w:val="6"/>
          </w:tcPr>
          <w:p>
            <w:pPr>
              <w:jc w:val="right"/>
              <w:ind w:right="644"/>
              <w:spacing w:after="0"/>
              <w:rPr>
                <w:sz w:val="20"/>
                <w:szCs w:val="20"/>
                <w:color w:val="auto"/>
              </w:rPr>
            </w:pPr>
            <w:r>
              <w:rPr>
                <w:rFonts w:ascii="Arial" w:cs="Arial" w:eastAsia="Arial" w:hAnsi="Arial"/>
                <w:sz w:val="13"/>
                <w:szCs w:val="13"/>
                <w:b w:val="1"/>
                <w:bCs w:val="1"/>
                <w:color w:val="auto"/>
              </w:rPr>
              <w:t>Six Months Ended June 30,</w:t>
            </w:r>
          </w:p>
        </w:tc>
      </w:tr>
      <w:tr>
        <w:trPr>
          <w:trHeight w:val="22"/>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8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527"/>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Arial" w:cs="Arial" w:eastAsia="Arial" w:hAnsi="Arial"/>
                <w:sz w:val="13"/>
                <w:szCs w:val="13"/>
                <w:b w:val="1"/>
                <w:bCs w:val="1"/>
                <w:color w:val="auto"/>
              </w:rPr>
              <w:t>2022</w:t>
            </w:r>
          </w:p>
        </w:tc>
      </w:tr>
      <w:tr>
        <w:trPr>
          <w:trHeight w:val="35"/>
        </w:trPr>
        <w:tc>
          <w:tcPr>
            <w:tcW w:w="20" w:type="dxa"/>
            <w:vAlign w:val="bottom"/>
          </w:tcPr>
          <w:p>
            <w:pPr>
              <w:spacing w:after="0"/>
              <w:rPr>
                <w:sz w:val="3"/>
                <w:szCs w:val="3"/>
                <w:color w:val="auto"/>
              </w:rPr>
            </w:pPr>
          </w:p>
        </w:tc>
        <w:tc>
          <w:tcPr>
            <w:tcW w:w="48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6"/>
        </w:trPr>
        <w:tc>
          <w:tcPr>
            <w:tcW w:w="20" w:type="dxa"/>
            <w:vAlign w:val="bottom"/>
          </w:tcPr>
          <w:p>
            <w:pPr>
              <w:spacing w:after="0"/>
              <w:rPr>
                <w:sz w:val="20"/>
                <w:szCs w:val="20"/>
                <w:color w:val="auto"/>
              </w:rPr>
            </w:pPr>
          </w:p>
        </w:tc>
        <w:tc>
          <w:tcPr>
            <w:tcW w:w="486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Gross receipts</w:t>
            </w:r>
            <w:r>
              <w:rPr>
                <w:rFonts w:ascii="Arial" w:cs="Arial" w:eastAsia="Arial" w:hAnsi="Arial"/>
                <w:sz w:val="21"/>
                <w:szCs w:val="21"/>
                <w:color w:val="auto"/>
                <w:vertAlign w:val="superscript"/>
              </w:rPr>
              <w:t>(a)</w:t>
            </w:r>
          </w:p>
        </w:tc>
        <w:tc>
          <w:tcPr>
            <w:tcW w:w="1080" w:type="dxa"/>
            <w:vAlign w:val="bottom"/>
            <w:gridSpan w:val="2"/>
            <w:shd w:val="clear" w:color="auto" w:fill="CCEEFF"/>
          </w:tcPr>
          <w:p>
            <w:pPr>
              <w:jc w:val="right"/>
              <w:ind w:right="897"/>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40" w:type="dxa"/>
            <w:vAlign w:val="bottom"/>
            <w:gridSpan w:val="3"/>
            <w:shd w:val="clear" w:color="auto" w:fill="CCEEFF"/>
          </w:tcPr>
          <w:p>
            <w:pPr>
              <w:jc w:val="right"/>
              <w:ind w:right="737"/>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70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480" w:type="dxa"/>
            <w:vAlign w:val="bottom"/>
            <w:gridSpan w:val="4"/>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33"/>
        </w:trPr>
        <w:tc>
          <w:tcPr>
            <w:tcW w:w="2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6"/>
                <w:szCs w:val="16"/>
                <w:color w:val="auto"/>
              </w:rPr>
              <w:t>Property</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33"/>
        </w:trPr>
        <w:tc>
          <w:tcPr>
            <w:tcW w:w="20" w:type="dxa"/>
            <w:vAlign w:val="bottom"/>
          </w:tcPr>
          <w:p>
            <w:pPr>
              <w:spacing w:after="0"/>
              <w:rPr>
                <w:sz w:val="20"/>
                <w:szCs w:val="20"/>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w:t>
            </w: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20" w:type="dxa"/>
            <w:vAlign w:val="bottom"/>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line="28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 gross receipts taxes related to our retail operations. The offsetting collection of gross receipts taxes from customers is recorded in Operating revenues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Note 16 — Supplemental Financial Information</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Other, net</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r>
      <w:tr>
        <w:trPr>
          <w:trHeight w:val="174"/>
        </w:trPr>
        <w:tc>
          <w:tcPr>
            <w:tcW w:w="4660" w:type="dxa"/>
            <w:vAlign w:val="bottom"/>
          </w:tcPr>
          <w:p>
            <w:pPr>
              <w:spacing w:after="0"/>
              <w:rPr>
                <w:sz w:val="15"/>
                <w:szCs w:val="15"/>
                <w:color w:val="auto"/>
              </w:rPr>
            </w:pPr>
          </w:p>
        </w:tc>
        <w:tc>
          <w:tcPr>
            <w:tcW w:w="26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Three Months Ended June 30,</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80" w:type="dxa"/>
            <w:vAlign w:val="bottom"/>
            <w:gridSpan w:val="4"/>
          </w:tcPr>
          <w:p>
            <w:pPr>
              <w:jc w:val="right"/>
              <w:ind w:right="701"/>
              <w:spacing w:after="0"/>
              <w:rPr>
                <w:sz w:val="20"/>
                <w:szCs w:val="20"/>
                <w:color w:val="auto"/>
              </w:rPr>
            </w:pPr>
            <w:r>
              <w:rPr>
                <w:rFonts w:ascii="Arial" w:cs="Arial" w:eastAsia="Arial" w:hAnsi="Arial"/>
                <w:sz w:val="13"/>
                <w:szCs w:val="13"/>
                <w:b w:val="1"/>
                <w:bCs w:val="1"/>
                <w:color w:val="auto"/>
              </w:rPr>
              <w:t>Six Months Ended June 30,</w:t>
            </w:r>
          </w:p>
        </w:tc>
      </w:tr>
      <w:tr>
        <w:trPr>
          <w:trHeight w:val="22"/>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4"/>
        </w:trPr>
        <w:tc>
          <w:tcPr>
            <w:tcW w:w="466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ind w:right="562"/>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41"/>
              <w:spacing w:after="0"/>
              <w:rPr>
                <w:sz w:val="20"/>
                <w:szCs w:val="20"/>
                <w:color w:val="auto"/>
              </w:rPr>
            </w:pPr>
            <w:r>
              <w:rPr>
                <w:rFonts w:ascii="Arial" w:cs="Arial" w:eastAsia="Arial" w:hAnsi="Arial"/>
                <w:sz w:val="13"/>
                <w:szCs w:val="13"/>
                <w:b w:val="1"/>
                <w:bCs w:val="1"/>
                <w:color w:val="auto"/>
              </w:rPr>
              <w:t>2022</w:t>
            </w:r>
          </w:p>
        </w:tc>
      </w:tr>
      <w:tr>
        <w:trPr>
          <w:trHeight w:val="35"/>
        </w:trPr>
        <w:tc>
          <w:tcPr>
            <w:tcW w:w="46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Decommissioning-related activities:</w:t>
            </w: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16"/>
        </w:trPr>
        <w:tc>
          <w:tcPr>
            <w:tcW w:w="4660" w:type="dxa"/>
            <w:vAlign w:val="bottom"/>
          </w:tcPr>
          <w:p>
            <w:pPr>
              <w:ind w:left="340"/>
              <w:spacing w:after="0" w:line="216" w:lineRule="exact"/>
              <w:rPr>
                <w:sz w:val="20"/>
                <w:szCs w:val="20"/>
                <w:color w:val="auto"/>
              </w:rPr>
            </w:pPr>
            <w:r>
              <w:rPr>
                <w:rFonts w:ascii="Arial" w:cs="Arial" w:eastAsia="Arial" w:hAnsi="Arial"/>
                <w:sz w:val="16"/>
                <w:szCs w:val="16"/>
                <w:color w:val="auto"/>
              </w:rPr>
              <w:t>Net realized income on NDT funds</w:t>
            </w:r>
            <w:r>
              <w:rPr>
                <w:rFonts w:ascii="Arial" w:cs="Arial" w:eastAsia="Arial" w:hAnsi="Arial"/>
                <w:sz w:val="21"/>
                <w:szCs w:val="21"/>
                <w:color w:val="auto"/>
                <w:vertAlign w:val="superscript"/>
              </w:rPr>
              <w:t>(a)</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3"/>
        </w:trPr>
        <w:tc>
          <w:tcPr>
            <w:tcW w:w="4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Regulatory Agreement Units</w:t>
            </w:r>
          </w:p>
        </w:tc>
        <w:tc>
          <w:tcPr>
            <w:tcW w:w="1020" w:type="dxa"/>
            <w:vAlign w:val="bottom"/>
            <w:shd w:val="clear" w:color="auto" w:fill="CCEEFF"/>
          </w:tcPr>
          <w:p>
            <w:pPr>
              <w:jc w:val="right"/>
              <w:ind w:right="85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1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24"/>
        </w:trPr>
        <w:tc>
          <w:tcPr>
            <w:tcW w:w="4660" w:type="dxa"/>
            <w:vAlign w:val="bottom"/>
          </w:tcPr>
          <w:p>
            <w:pPr>
              <w:ind w:left="660"/>
              <w:spacing w:after="0"/>
              <w:rPr>
                <w:sz w:val="20"/>
                <w:szCs w:val="20"/>
                <w:color w:val="auto"/>
              </w:rPr>
            </w:pPr>
            <w:r>
              <w:rPr>
                <w:rFonts w:ascii="Arial" w:cs="Arial" w:eastAsia="Arial" w:hAnsi="Arial"/>
                <w:sz w:val="16"/>
                <w:szCs w:val="16"/>
                <w:color w:val="auto"/>
              </w:rPr>
              <w:t>Non-Regulatory Agreement Units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unrealized gains (losses) on NDT funds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3"/>
        </w:trPr>
        <w:tc>
          <w:tcPr>
            <w:tcW w:w="4660" w:type="dxa"/>
            <w:vAlign w:val="bottom"/>
          </w:tcPr>
          <w:p>
            <w:pPr>
              <w:ind w:left="660"/>
              <w:spacing w:after="0"/>
              <w:rPr>
                <w:sz w:val="20"/>
                <w:szCs w:val="20"/>
                <w:color w:val="auto"/>
              </w:rPr>
            </w:pPr>
            <w:r>
              <w:rPr>
                <w:rFonts w:ascii="Arial" w:cs="Arial" w:eastAsia="Arial" w:hAnsi="Arial"/>
                <w:sz w:val="16"/>
                <w:szCs w:val="16"/>
                <w:color w:val="auto"/>
              </w:rPr>
              <w:t>Regulatory Agreement Units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(1,390)</w:t>
            </w:r>
          </w:p>
        </w:tc>
      </w:tr>
      <w:tr>
        <w:trPr>
          <w:trHeight w:val="33"/>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Non-Regulatory Agreement Units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Regulatory offset to NDT fund-related activities</w:t>
            </w:r>
            <w:r>
              <w:rPr>
                <w:rFonts w:ascii="Arial" w:cs="Arial" w:eastAsia="Arial" w:hAnsi="Arial"/>
                <w:sz w:val="21"/>
                <w:szCs w:val="21"/>
                <w:color w:val="auto"/>
                <w:vertAlign w:val="superscript"/>
              </w:rPr>
              <w:t>(b)</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Decommissioning-related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Non-service net periodic benefit credit</w:t>
            </w:r>
            <w:r>
              <w:rPr>
                <w:rFonts w:ascii="Arial" w:cs="Arial" w:eastAsia="Arial" w:hAnsi="Arial"/>
                <w:sz w:val="21"/>
                <w:szCs w:val="21"/>
                <w:color w:val="auto"/>
                <w:vertAlign w:val="superscript"/>
              </w:rPr>
              <w:t>(c)</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realized and unrealized gains (losses) from equity</w:t>
            </w: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0"/>
        </w:trPr>
        <w:tc>
          <w:tcPr>
            <w:tcW w:w="466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(d)</w:t>
            </w: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94"/>
        </w:trPr>
        <w:tc>
          <w:tcPr>
            <w:tcW w:w="4660" w:type="dxa"/>
            <w:vAlign w:val="bottom"/>
          </w:tcPr>
          <w:p>
            <w:pPr>
              <w:ind w:left="20"/>
              <w:spacing w:after="0"/>
              <w:rPr>
                <w:sz w:val="20"/>
                <w:szCs w:val="20"/>
                <w:color w:val="auto"/>
              </w:rPr>
            </w:pPr>
            <w:r>
              <w:rPr>
                <w:rFonts w:ascii="Arial" w:cs="Arial" w:eastAsia="Arial" w:hAnsi="Arial"/>
                <w:sz w:val="16"/>
                <w:szCs w:val="16"/>
                <w:color w:val="auto"/>
              </w:rPr>
              <w:t>Return to provision adjustment</w:t>
            </w:r>
            <w:r>
              <w:rPr>
                <w:rFonts w:ascii="Arial" w:cs="Arial" w:eastAsia="Arial" w:hAnsi="Arial"/>
                <w:sz w:val="21"/>
                <w:szCs w:val="21"/>
                <w:color w:val="auto"/>
                <w:vertAlign w:val="superscript"/>
              </w:rPr>
              <w:t>(e)</w:t>
            </w:r>
          </w:p>
        </w:tc>
        <w:tc>
          <w:tcPr>
            <w:tcW w:w="1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Realized income includes interest, dividends and realized gains and losses on sales of NDT fund investments.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elimination of decommissioning-related activities and the elimination of income taxes related to all NDT fund activity for the Regulatory Agreement Units.</w:t>
      </w:r>
    </w:p>
    <w:p>
      <w:pPr>
        <w:spacing w:after="0" w:line="4" w:lineRule="exact"/>
        <w:rPr>
          <w:rFonts w:ascii="Arial" w:cs="Arial" w:eastAsia="Arial" w:hAnsi="Arial"/>
          <w:sz w:val="14"/>
          <w:szCs w:val="14"/>
          <w:color w:val="auto"/>
        </w:rPr>
      </w:pPr>
    </w:p>
    <w:p>
      <w:pPr>
        <w:jc w:val="both"/>
        <w:ind w:left="340" w:hanging="332"/>
        <w:spacing w:after="0" w:line="259"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Prior to separation, we were allocated our portion of pension and OPEB non-service credits (costs) from Exelon, which was included in Operating and maintenance expense. Effective February 1, 2022, the non-service credit (cost) components are included in Other, net, in accordance with single employer plan accounting. See Note 9</w:t>
      </w:r>
    </w:p>
    <w:p>
      <w:pPr>
        <w:ind w:left="340"/>
        <w:spacing w:after="0"/>
        <w:rPr>
          <w:rFonts w:ascii="Arial" w:cs="Arial" w:eastAsia="Arial" w:hAnsi="Arial"/>
          <w:sz w:val="14"/>
          <w:szCs w:val="14"/>
          <w:color w:val="auto"/>
        </w:rPr>
      </w:pPr>
      <w:r>
        <w:rPr>
          <w:rFonts w:ascii="Arial" w:cs="Arial" w:eastAsia="Arial" w:hAnsi="Arial"/>
          <w:sz w:val="14"/>
          <w:szCs w:val="14"/>
          <w:color w:val="auto"/>
        </w:rPr>
        <w:t>— Retirement Benefits for additional information.</w:t>
      </w:r>
    </w:p>
    <w:p>
      <w:pPr>
        <w:spacing w:after="0" w:line="14"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2023, includes unrealized gain resulting from equity investment that became publicly traded in the second quarter of 2023 and now has a readily determinable fair value (and no longer is accounted for as an equity method investment due to lack of significant influence). We recorded the fair value of this investment in Investments on the Consolidated Balance Sheets based on quoted market price of the stock as of June 30, 2023. See Note 12 — Fair Value of Financial Assets and Liabilities for additional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This reflects amounts contractually owed to Exelon under the tax matters agreement, which is offset in Income taxes.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additional information about material items recorded within our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34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Depreciation, amortization, and accretion</w:t>
            </w:r>
          </w:p>
        </w:tc>
        <w:tc>
          <w:tcPr>
            <w:tcW w:w="660" w:type="dxa"/>
            <w:vAlign w:val="bottom"/>
          </w:tcPr>
          <w:p>
            <w:pPr>
              <w:spacing w:after="0"/>
              <w:rPr>
                <w:sz w:val="15"/>
                <w:szCs w:val="15"/>
                <w:color w:val="auto"/>
              </w:rPr>
            </w:pPr>
          </w:p>
        </w:tc>
      </w:tr>
      <w:tr>
        <w:trPr>
          <w:trHeight w:val="35"/>
        </w:trPr>
        <w:tc>
          <w:tcPr>
            <w:tcW w:w="7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74"/>
        </w:trPr>
        <w:tc>
          <w:tcPr>
            <w:tcW w:w="7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8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w w:val="98"/>
              </w:rPr>
              <w:t>Six Months Ended June 30,</w:t>
            </w:r>
          </w:p>
        </w:tc>
        <w:tc>
          <w:tcPr>
            <w:tcW w:w="660" w:type="dxa"/>
            <w:vAlign w:val="bottom"/>
          </w:tcPr>
          <w:p>
            <w:pPr>
              <w:spacing w:after="0"/>
              <w:rPr>
                <w:sz w:val="15"/>
                <w:szCs w:val="15"/>
                <w:color w:val="auto"/>
              </w:rPr>
            </w:pPr>
          </w:p>
        </w:tc>
      </w:tr>
      <w:tr>
        <w:trPr>
          <w:trHeight w:val="22"/>
        </w:trPr>
        <w:tc>
          <w:tcPr>
            <w:tcW w:w="7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4"/>
        </w:trPr>
        <w:tc>
          <w:tcPr>
            <w:tcW w:w="7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80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660" w:type="dxa"/>
            <w:vAlign w:val="bottom"/>
          </w:tcPr>
          <w:p>
            <w:pPr>
              <w:spacing w:after="0"/>
              <w:rPr>
                <w:sz w:val="15"/>
                <w:szCs w:val="15"/>
                <w:color w:val="auto"/>
              </w:rPr>
            </w:pPr>
          </w:p>
        </w:tc>
      </w:tr>
      <w:tr>
        <w:trPr>
          <w:trHeight w:val="22"/>
        </w:trPr>
        <w:tc>
          <w:tcPr>
            <w:tcW w:w="7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Property, plant, and equipment</w:t>
            </w:r>
            <w:r>
              <w:rPr>
                <w:rFonts w:ascii="Arial" w:cs="Arial" w:eastAsia="Arial" w:hAnsi="Arial"/>
                <w:sz w:val="21"/>
                <w:szCs w:val="21"/>
                <w:color w:val="auto"/>
                <w:vertAlign w:val="superscript"/>
              </w:rPr>
              <w:t>(a)</w:t>
            </w:r>
          </w:p>
        </w:tc>
        <w:tc>
          <w:tcPr>
            <w:tcW w:w="1200" w:type="dxa"/>
            <w:vAlign w:val="bottom"/>
            <w:shd w:val="clear" w:color="auto" w:fill="CCEEFF"/>
          </w:tcPr>
          <w:p>
            <w:pPr>
              <w:jc w:val="right"/>
              <w:ind w:right="100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480" w:type="dxa"/>
            <w:vAlign w:val="bottom"/>
            <w:gridSpan w:val="2"/>
            <w:shd w:val="clear" w:color="auto" w:fill="CCEEFF"/>
          </w:tcPr>
          <w:p>
            <w:pPr>
              <w:jc w:val="right"/>
              <w:ind w:right="12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r>
      <w:tr>
        <w:trPr>
          <w:trHeight w:val="256"/>
        </w:trPr>
        <w:tc>
          <w:tcPr>
            <w:tcW w:w="7100" w:type="dxa"/>
            <w:vAlign w:val="bottom"/>
          </w:tcPr>
          <w:p>
            <w:pPr>
              <w:ind w:left="20"/>
              <w:spacing w:after="0"/>
              <w:rPr>
                <w:sz w:val="20"/>
                <w:szCs w:val="20"/>
                <w:color w:val="auto"/>
              </w:rPr>
            </w:pPr>
            <w:r>
              <w:rPr>
                <w:rFonts w:ascii="Arial" w:cs="Arial" w:eastAsia="Arial" w:hAnsi="Arial"/>
                <w:sz w:val="16"/>
                <w:szCs w:val="16"/>
                <w:color w:val="auto"/>
              </w:rPr>
              <w:t>Amortization of intangible assets, net</w:t>
            </w:r>
            <w:r>
              <w:rPr>
                <w:rFonts w:ascii="Arial" w:cs="Arial" w:eastAsia="Arial" w:hAnsi="Arial"/>
                <w:sz w:val="21"/>
                <w:szCs w:val="21"/>
                <w:color w:val="auto"/>
                <w:vertAlign w:val="superscript"/>
              </w:rPr>
              <w:t>(a)</w:t>
            </w:r>
          </w:p>
        </w:tc>
        <w:tc>
          <w:tcPr>
            <w:tcW w:w="1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energy contract assets and liabilities</w:t>
            </w:r>
            <w:r>
              <w:rPr>
                <w:rFonts w:ascii="Arial" w:cs="Arial" w:eastAsia="Arial" w:hAnsi="Arial"/>
                <w:sz w:val="21"/>
                <w:szCs w:val="21"/>
                <w:color w:val="auto"/>
                <w:vertAlign w:val="superscript"/>
              </w:rPr>
              <w:t>(b)</w:t>
            </w:r>
          </w:p>
        </w:tc>
        <w:tc>
          <w:tcPr>
            <w:tcW w:w="1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6"/>
        </w:trPr>
        <w:tc>
          <w:tcPr>
            <w:tcW w:w="7100" w:type="dxa"/>
            <w:vAlign w:val="bottom"/>
          </w:tcPr>
          <w:p>
            <w:pPr>
              <w:ind w:left="20"/>
              <w:spacing w:after="0"/>
              <w:rPr>
                <w:sz w:val="20"/>
                <w:szCs w:val="20"/>
                <w:color w:val="auto"/>
              </w:rPr>
            </w:pPr>
            <w:r>
              <w:rPr>
                <w:rFonts w:ascii="Arial" w:cs="Arial" w:eastAsia="Arial" w:hAnsi="Arial"/>
                <w:sz w:val="16"/>
                <w:szCs w:val="16"/>
                <w:color w:val="auto"/>
              </w:rPr>
              <w:t>Nuclear fuel</w:t>
            </w:r>
            <w:r>
              <w:rPr>
                <w:rFonts w:ascii="Arial" w:cs="Arial" w:eastAsia="Arial" w:hAnsi="Arial"/>
                <w:sz w:val="21"/>
                <w:szCs w:val="21"/>
                <w:color w:val="auto"/>
                <w:vertAlign w:val="superscript"/>
              </w:rPr>
              <w:t>(c)</w:t>
            </w:r>
          </w:p>
        </w:tc>
        <w:tc>
          <w:tcPr>
            <w:tcW w:w="1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4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ARO accretion</w:t>
            </w:r>
            <w:r>
              <w:rPr>
                <w:rFonts w:ascii="Arial" w:cs="Arial" w:eastAsia="Arial" w:hAnsi="Arial"/>
                <w:sz w:val="21"/>
                <w:szCs w:val="21"/>
                <w:color w:val="auto"/>
                <w:vertAlign w:val="superscript"/>
              </w:rPr>
              <w:t>(d)</w:t>
            </w:r>
          </w:p>
        </w:tc>
        <w:tc>
          <w:tcPr>
            <w:tcW w:w="1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37"/>
        </w:trPr>
        <w:tc>
          <w:tcPr>
            <w:tcW w:w="7100" w:type="dxa"/>
            <w:vAlign w:val="bottom"/>
          </w:tcPr>
          <w:p>
            <w:pPr>
              <w:ind w:left="20"/>
              <w:spacing w:after="0"/>
              <w:rPr>
                <w:sz w:val="20"/>
                <w:szCs w:val="20"/>
                <w:color w:val="auto"/>
              </w:rPr>
            </w:pPr>
            <w:r>
              <w:rPr>
                <w:rFonts w:ascii="Arial" w:cs="Arial" w:eastAsia="Arial" w:hAnsi="Arial"/>
                <w:sz w:val="16"/>
                <w:szCs w:val="16"/>
                <w:color w:val="auto"/>
              </w:rPr>
              <w:t>Total depreciation, amortization, and accretion</w:t>
            </w:r>
          </w:p>
        </w:tc>
        <w:tc>
          <w:tcPr>
            <w:tcW w:w="1200" w:type="dxa"/>
            <w:vAlign w:val="bottom"/>
          </w:tcPr>
          <w:p>
            <w:pPr>
              <w:jc w:val="right"/>
              <w:ind w:right="1008"/>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1,219</w:t>
            </w:r>
          </w:p>
        </w:tc>
        <w:tc>
          <w:tcPr>
            <w:tcW w:w="1480" w:type="dxa"/>
            <w:vAlign w:val="bottom"/>
            <w:gridSpan w:val="2"/>
          </w:tcPr>
          <w:p>
            <w:pPr>
              <w:jc w:val="right"/>
              <w:ind w:right="12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1,207</w:t>
            </w:r>
          </w:p>
        </w:tc>
      </w:tr>
      <w:tr>
        <w:trPr>
          <w:trHeight w:val="20"/>
        </w:trPr>
        <w:tc>
          <w:tcPr>
            <w:tcW w:w="7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in Depreciation and amortization expense in the Consolidated Statements of Operations and Comprehensive Income.</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in Operating revenues or Purchased power and fuel expense in the Consolidated Statements of Operations and Comprehensive Income.</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in Purchased power and fuel expense in the Consolidated Statements of Operations and Comprehensive Income.</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in Operating and maintenance expense in the Consolidated Statements of Operations and Comprehensive Income.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Note 16 — Supplemental Financial Information</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5"/>
          </w:tcPr>
          <w:p>
            <w:pPr>
              <w:jc w:val="right"/>
              <w:ind w:right="424"/>
              <w:spacing w:after="0"/>
              <w:rPr>
                <w:sz w:val="20"/>
                <w:szCs w:val="20"/>
                <w:color w:val="auto"/>
              </w:rPr>
            </w:pPr>
            <w:r>
              <w:rPr>
                <w:rFonts w:ascii="Arial" w:cs="Arial" w:eastAsia="Arial" w:hAnsi="Arial"/>
                <w:sz w:val="13"/>
                <w:szCs w:val="13"/>
                <w:b w:val="1"/>
                <w:bCs w:val="1"/>
                <w:color w:val="auto"/>
              </w:rPr>
              <w:t>Other non-cash operating activities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
        </w:trPr>
        <w:tc>
          <w:tcPr>
            <w:tcW w:w="4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4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40" w:type="dxa"/>
            <w:vAlign w:val="bottom"/>
            <w:gridSpan w:val="3"/>
          </w:tcPr>
          <w:p>
            <w:pPr>
              <w:jc w:val="center"/>
              <w:ind w:right="437"/>
              <w:spacing w:after="0"/>
              <w:rPr>
                <w:sz w:val="20"/>
                <w:szCs w:val="20"/>
                <w:color w:val="auto"/>
              </w:rPr>
            </w:pPr>
            <w:r>
              <w:rPr>
                <w:rFonts w:ascii="Arial" w:cs="Arial" w:eastAsia="Arial" w:hAnsi="Arial"/>
                <w:sz w:val="13"/>
                <w:szCs w:val="13"/>
                <w:b w:val="1"/>
                <w:bCs w:val="1"/>
                <w:color w:val="auto"/>
                <w:w w:val="96"/>
              </w:rPr>
              <w:t>CEG Parent</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Constellation</w:t>
            </w:r>
          </w:p>
        </w:tc>
        <w:tc>
          <w:tcPr>
            <w:tcW w:w="1000" w:type="dxa"/>
            <w:vAlign w:val="bottom"/>
          </w:tcPr>
          <w:p>
            <w:pPr>
              <w:spacing w:after="0"/>
              <w:rPr>
                <w:sz w:val="15"/>
                <w:szCs w:val="15"/>
                <w:color w:val="auto"/>
              </w:rPr>
            </w:pPr>
          </w:p>
        </w:tc>
      </w:tr>
      <w:tr>
        <w:trPr>
          <w:trHeight w:val="22"/>
        </w:trPr>
        <w:tc>
          <w:tcPr>
            <w:tcW w:w="4880" w:type="dxa"/>
            <w:vAlign w:val="bottom"/>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174"/>
        </w:trPr>
        <w:tc>
          <w:tcPr>
            <w:tcW w:w="4880" w:type="dxa"/>
            <w:vAlign w:val="bottom"/>
          </w:tcPr>
          <w:p>
            <w:pPr>
              <w:spacing w:after="0"/>
              <w:rPr>
                <w:sz w:val="15"/>
                <w:szCs w:val="15"/>
                <w:color w:val="auto"/>
              </w:rPr>
            </w:pPr>
          </w:p>
        </w:tc>
        <w:tc>
          <w:tcPr>
            <w:tcW w:w="2620" w:type="dxa"/>
            <w:vAlign w:val="bottom"/>
            <w:gridSpan w:val="4"/>
          </w:tcPr>
          <w:p>
            <w:pPr>
              <w:jc w:val="center"/>
              <w:ind w:left="411"/>
              <w:spacing w:after="0"/>
              <w:rPr>
                <w:sz w:val="20"/>
                <w:szCs w:val="20"/>
                <w:color w:val="auto"/>
              </w:rPr>
            </w:pPr>
            <w:r>
              <w:rPr>
                <w:rFonts w:ascii="Arial" w:cs="Arial" w:eastAsia="Arial" w:hAnsi="Arial"/>
                <w:sz w:val="13"/>
                <w:szCs w:val="13"/>
                <w:b w:val="1"/>
                <w:bCs w:val="1"/>
                <w:color w:val="auto"/>
                <w:w w:val="96"/>
              </w:rPr>
              <w:t>Six Months Ended June 30,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641"/>
              <w:spacing w:after="0"/>
              <w:rPr>
                <w:sz w:val="20"/>
                <w:szCs w:val="20"/>
                <w:color w:val="auto"/>
              </w:rPr>
            </w:pPr>
            <w:r>
              <w:rPr>
                <w:rFonts w:ascii="Arial" w:cs="Arial" w:eastAsia="Arial" w:hAnsi="Arial"/>
                <w:sz w:val="13"/>
                <w:szCs w:val="13"/>
                <w:b w:val="1"/>
                <w:bCs w:val="1"/>
                <w:color w:val="auto"/>
              </w:rPr>
              <w:t>Six Months Ended June 30,</w:t>
            </w:r>
          </w:p>
        </w:tc>
      </w:tr>
      <w:tr>
        <w:trPr>
          <w:trHeight w:val="35"/>
        </w:trPr>
        <w:tc>
          <w:tcPr>
            <w:tcW w:w="48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4"/>
        </w:trPr>
        <w:tc>
          <w:tcPr>
            <w:tcW w:w="4880" w:type="dxa"/>
            <w:vAlign w:val="bottom"/>
          </w:tcPr>
          <w:p>
            <w:pPr>
              <w:spacing w:after="0"/>
              <w:rPr>
                <w:sz w:val="15"/>
                <w:szCs w:val="15"/>
                <w:color w:val="auto"/>
              </w:rPr>
            </w:pPr>
          </w:p>
        </w:tc>
        <w:tc>
          <w:tcPr>
            <w:tcW w:w="980" w:type="dxa"/>
            <w:vAlign w:val="bottom"/>
          </w:tcPr>
          <w:p>
            <w:pPr>
              <w:jc w:val="right"/>
              <w:ind w:right="31"/>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5"/>
                <w:szCs w:val="15"/>
                <w:color w:val="auto"/>
              </w:rPr>
            </w:pPr>
          </w:p>
        </w:tc>
        <w:tc>
          <w:tcPr>
            <w:tcW w:w="114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521"/>
              <w:spacing w:after="0"/>
              <w:rPr>
                <w:sz w:val="20"/>
                <w:szCs w:val="20"/>
                <w:color w:val="auto"/>
              </w:rPr>
            </w:pPr>
            <w:r>
              <w:rPr>
                <w:rFonts w:ascii="Arial" w:cs="Arial" w:eastAsia="Arial" w:hAnsi="Arial"/>
                <w:sz w:val="13"/>
                <w:szCs w:val="13"/>
                <w:b w:val="1"/>
                <w:bCs w:val="1"/>
                <w:color w:val="auto"/>
              </w:rPr>
              <w:t>2022</w:t>
            </w:r>
          </w:p>
        </w:tc>
      </w:tr>
      <w:tr>
        <w:trPr>
          <w:trHeight w:val="22"/>
        </w:trPr>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and non-pension postretirement benefit costs</w:t>
            </w:r>
          </w:p>
        </w:tc>
        <w:tc>
          <w:tcPr>
            <w:tcW w:w="980" w:type="dxa"/>
            <w:vAlign w:val="bottom"/>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140" w:type="dxa"/>
            <w:vAlign w:val="bottom"/>
            <w:gridSpan w:val="2"/>
            <w:shd w:val="clear" w:color="auto" w:fill="CCEEFF"/>
          </w:tcPr>
          <w:p>
            <w:pPr>
              <w:jc w:val="right"/>
              <w:ind w:right="837"/>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56"/>
        </w:trPr>
        <w:tc>
          <w:tcPr>
            <w:tcW w:w="4880" w:type="dxa"/>
            <w:vAlign w:val="bottom"/>
          </w:tcPr>
          <w:p>
            <w:pPr>
              <w:ind w:left="20"/>
              <w:spacing w:after="0"/>
              <w:rPr>
                <w:sz w:val="20"/>
                <w:szCs w:val="20"/>
                <w:color w:val="auto"/>
              </w:rPr>
            </w:pPr>
            <w:r>
              <w:rPr>
                <w:rFonts w:ascii="Arial" w:cs="Arial" w:eastAsia="Arial" w:hAnsi="Arial"/>
                <w:sz w:val="16"/>
                <w:szCs w:val="16"/>
                <w:color w:val="auto"/>
              </w:rPr>
              <w:t>Other decommissioning-related activity</w:t>
            </w:r>
            <w:r>
              <w:rPr>
                <w:rFonts w:ascii="Arial" w:cs="Arial" w:eastAsia="Arial" w:hAnsi="Arial"/>
                <w:sz w:val="21"/>
                <w:szCs w:val="21"/>
                <w:color w:val="auto"/>
                <w:vertAlign w:val="superscript"/>
              </w:rPr>
              <w:t>(a)</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Energy-related options</w:t>
            </w:r>
            <w:r>
              <w:rPr>
                <w:rFonts w:ascii="Arial" w:cs="Arial" w:eastAsia="Arial" w:hAnsi="Arial"/>
                <w:sz w:val="21"/>
                <w:szCs w:val="21"/>
                <w:color w:val="auto"/>
                <w:vertAlign w:val="superscript"/>
              </w:rPr>
              <w:t>(b)</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43"/>
        </w:trPr>
        <w:tc>
          <w:tcPr>
            <w:tcW w:w="4880" w:type="dxa"/>
            <w:vAlign w:val="bottom"/>
          </w:tcPr>
          <w:p>
            <w:pPr>
              <w:ind w:left="20"/>
              <w:spacing w:after="0"/>
              <w:rPr>
                <w:sz w:val="20"/>
                <w:szCs w:val="20"/>
                <w:color w:val="auto"/>
              </w:rPr>
            </w:pPr>
            <w:r>
              <w:rPr>
                <w:rFonts w:ascii="Arial" w:cs="Arial" w:eastAsia="Arial" w:hAnsi="Arial"/>
                <w:sz w:val="16"/>
                <w:szCs w:val="16"/>
                <w:color w:val="auto"/>
              </w:rPr>
              <w:t>Long-term incentive plan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operating ROU asset</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3"/>
        </w:trPr>
        <w:tc>
          <w:tcPr>
            <w:tcW w:w="4880" w:type="dxa"/>
            <w:vAlign w:val="bottom"/>
          </w:tcPr>
          <w:p>
            <w:pPr>
              <w:ind w:left="20"/>
              <w:spacing w:after="0"/>
              <w:rPr>
                <w:sz w:val="20"/>
                <w:szCs w:val="20"/>
                <w:color w:val="auto"/>
              </w:rPr>
            </w:pPr>
            <w:r>
              <w:rPr>
                <w:rFonts w:ascii="Arial" w:cs="Arial" w:eastAsia="Arial" w:hAnsi="Arial"/>
                <w:sz w:val="16"/>
                <w:szCs w:val="16"/>
                <w:color w:val="auto"/>
              </w:rPr>
              <w:t>Loss on sale of receivables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adjustments related to gas imbalances</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line="26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elimination of decommissioning-related activities for the Regulatory Agreement Units, including the elimination of operating revenues, ARO accretion, ARC amortization, investment income, and income taxes related to all NDT fund activity for these units.</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option premiums reclassified to realized at the settlement of the underlying contracts and recorded to results of operations.</w:t>
      </w:r>
    </w:p>
    <w:p>
      <w:pPr>
        <w:spacing w:after="0" w:line="15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table provides a reconciliation of cash, restricted cash, and cash equivalents reported within our Consolidated Balance Sheets that sum to the total of the same amounts in the 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1520" w:type="dxa"/>
            <w:vAlign w:val="bottom"/>
          </w:tcPr>
          <w:p>
            <w:pPr>
              <w:jc w:val="right"/>
              <w:ind w:right="81"/>
              <w:spacing w:after="0"/>
              <w:rPr>
                <w:sz w:val="20"/>
                <w:szCs w:val="20"/>
                <w:color w:val="auto"/>
              </w:rPr>
            </w:pPr>
            <w:r>
              <w:rPr>
                <w:rFonts w:ascii="Arial" w:cs="Arial" w:eastAsia="Arial" w:hAnsi="Arial"/>
                <w:sz w:val="13"/>
                <w:szCs w:val="13"/>
                <w:b w:val="1"/>
                <w:bCs w:val="1"/>
                <w:color w:val="auto"/>
              </w:rPr>
              <w:t>CEG Parent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Pr>
          <w:p>
            <w:pPr>
              <w:jc w:val="right"/>
              <w:ind w:right="540"/>
              <w:spacing w:after="0"/>
              <w:rPr>
                <w:sz w:val="20"/>
                <w:szCs w:val="20"/>
                <w:color w:val="auto"/>
              </w:rPr>
            </w:pPr>
            <w:r>
              <w:rPr>
                <w:rFonts w:ascii="Arial" w:cs="Arial" w:eastAsia="Arial" w:hAnsi="Arial"/>
                <w:sz w:val="13"/>
                <w:szCs w:val="13"/>
                <w:b w:val="1"/>
                <w:bCs w:val="1"/>
                <w:color w:val="auto"/>
              </w:rPr>
              <w:t>Constellation</w:t>
            </w:r>
          </w:p>
        </w:tc>
        <w:tc>
          <w:tcPr>
            <w:tcW w:w="0" w:type="dxa"/>
            <w:vAlign w:val="bottom"/>
          </w:tcPr>
          <w:p>
            <w:pPr>
              <w:spacing w:after="0"/>
              <w:rPr>
                <w:sz w:val="1"/>
                <w:szCs w:val="1"/>
                <w:color w:val="auto"/>
              </w:rPr>
            </w:pPr>
          </w:p>
        </w:tc>
      </w:tr>
      <w:tr>
        <w:trPr>
          <w:trHeight w:val="22"/>
        </w:trPr>
        <w:tc>
          <w:tcPr>
            <w:tcW w:w="7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June 30, 2023</w:t>
            </w:r>
          </w:p>
        </w:tc>
        <w:tc>
          <w:tcPr>
            <w:tcW w:w="1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708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52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26"/>
        </w:trPr>
        <w:tc>
          <w:tcPr>
            <w:tcW w:w="7080" w:type="dxa"/>
            <w:vAlign w:val="bottom"/>
          </w:tcPr>
          <w:p>
            <w:pPr>
              <w:ind w:left="20"/>
              <w:spacing w:after="0"/>
              <w:rPr>
                <w:sz w:val="20"/>
                <w:szCs w:val="20"/>
                <w:color w:val="auto"/>
              </w:rPr>
            </w:pPr>
            <w:r>
              <w:rPr>
                <w:rFonts w:ascii="Arial" w:cs="Arial" w:eastAsia="Arial" w:hAnsi="Arial"/>
                <w:sz w:val="16"/>
                <w:szCs w:val="16"/>
                <w:color w:val="auto"/>
              </w:rPr>
              <w:t>Restricted cash and cash equivalents</w:t>
            </w:r>
          </w:p>
        </w:tc>
        <w:tc>
          <w:tcPr>
            <w:tcW w:w="1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restricted cash, and cash equivalents</w:t>
            </w:r>
          </w:p>
        </w:tc>
        <w:tc>
          <w:tcPr>
            <w:tcW w:w="1520" w:type="dxa"/>
            <w:vAlign w:val="bottom"/>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December 31, 2022</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52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6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restricted cash, and cash equivalents</w:t>
            </w:r>
          </w:p>
        </w:tc>
        <w:tc>
          <w:tcPr>
            <w:tcW w:w="1520" w:type="dxa"/>
            <w:vAlign w:val="bottom"/>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June 30, 2022</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70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52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restricted cash, and cash equivalents</w:t>
            </w:r>
          </w:p>
        </w:tc>
        <w:tc>
          <w:tcPr>
            <w:tcW w:w="1520" w:type="dxa"/>
            <w:vAlign w:val="bottom"/>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December 31, 2021</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70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52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37"/>
        </w:trPr>
        <w:tc>
          <w:tcPr>
            <w:tcW w:w="7080" w:type="dxa"/>
            <w:vAlign w:val="bottom"/>
          </w:tcPr>
          <w:p>
            <w:pPr>
              <w:ind w:left="20"/>
              <w:spacing w:after="0"/>
              <w:rPr>
                <w:sz w:val="20"/>
                <w:szCs w:val="20"/>
                <w:color w:val="auto"/>
              </w:rPr>
            </w:pPr>
            <w:r>
              <w:rPr>
                <w:rFonts w:ascii="Arial" w:cs="Arial" w:eastAsia="Arial" w:hAnsi="Arial"/>
                <w:sz w:val="16"/>
                <w:szCs w:val="16"/>
                <w:color w:val="auto"/>
              </w:rPr>
              <w:t>Restricted cash and cash equivalents</w:t>
            </w:r>
          </w:p>
        </w:tc>
        <w:tc>
          <w:tcPr>
            <w:tcW w:w="1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restricted cash, and cash equivalents</w:t>
            </w:r>
          </w:p>
        </w:tc>
        <w:tc>
          <w:tcPr>
            <w:tcW w:w="1520" w:type="dxa"/>
            <w:vAlign w:val="bottom"/>
            <w:shd w:val="clear" w:color="auto" w:fill="CCEEFF"/>
          </w:tcPr>
          <w:p>
            <w:pPr>
              <w:jc w:val="right"/>
              <w:ind w:right="1321"/>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restricted cash, see Note 1 — Basis of Presentation of our 2022 Form 10-K.</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Combined 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unless otherwise noted)</w:t>
      </w:r>
    </w:p>
    <w:p>
      <w:pPr>
        <w:spacing w:after="0" w:line="236"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Note 16 — Supplemental Financial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Balance Sheet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about material items recorded within our 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Accrued expenses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June 30, 2023</w:t>
            </w: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710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85"/>
              <w:spacing w:after="0"/>
              <w:rPr>
                <w:sz w:val="20"/>
                <w:szCs w:val="20"/>
                <w:color w:val="auto"/>
              </w:rPr>
            </w:pPr>
            <w:r>
              <w:rPr>
                <w:rFonts w:ascii="Arial" w:cs="Arial" w:eastAsia="Arial" w:hAnsi="Arial"/>
                <w:sz w:val="13"/>
                <w:szCs w:val="13"/>
                <w:b w:val="1"/>
                <w:bCs w:val="1"/>
                <w:color w:val="auto"/>
              </w:rPr>
              <w:t>CEG Parent</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w w:val="99"/>
              </w:rPr>
              <w:t>Constellation</w:t>
            </w:r>
          </w:p>
        </w:tc>
        <w:tc>
          <w:tcPr>
            <w:tcW w:w="0" w:type="dxa"/>
            <w:vAlign w:val="bottom"/>
          </w:tcPr>
          <w:p>
            <w:pPr>
              <w:spacing w:after="0"/>
              <w:rPr>
                <w:sz w:val="1"/>
                <w:szCs w:val="1"/>
                <w:color w:val="auto"/>
              </w:rPr>
            </w:pPr>
          </w:p>
        </w:tc>
      </w:tr>
      <w:tr>
        <w:trPr>
          <w:trHeight w:val="254"/>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Compensation-related accruals</w:t>
            </w:r>
            <w:r>
              <w:rPr>
                <w:rFonts w:ascii="Arial" w:cs="Arial" w:eastAsia="Arial" w:hAnsi="Arial"/>
                <w:sz w:val="21"/>
                <w:szCs w:val="21"/>
                <w:color w:val="auto"/>
                <w:vertAlign w:val="superscript"/>
              </w:rPr>
              <w:t>(a)</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393</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6"/>
                <w:szCs w:val="16"/>
                <w:color w:val="auto"/>
              </w:rPr>
              <w:t>Taxes accrued</w:t>
            </w:r>
          </w:p>
        </w:tc>
        <w:tc>
          <w:tcPr>
            <w:tcW w:w="360" w:type="dxa"/>
            <w:vAlign w:val="bottom"/>
          </w:tcPr>
          <w:p>
            <w:pPr>
              <w:spacing w:after="0"/>
              <w:rPr>
                <w:sz w:val="19"/>
                <w:szCs w:val="19"/>
                <w:color w:val="auto"/>
              </w:rPr>
            </w:pPr>
          </w:p>
        </w:tc>
        <w:tc>
          <w:tcPr>
            <w:tcW w:w="1640" w:type="dxa"/>
            <w:vAlign w:val="bottom"/>
          </w:tcPr>
          <w:p>
            <w:pPr>
              <w:jc w:val="right"/>
              <w:ind w:right="5"/>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67"/>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0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Compensation-related accruals</w:t>
            </w:r>
            <w:r>
              <w:rPr>
                <w:rFonts w:ascii="Arial" w:cs="Arial" w:eastAsia="Arial" w:hAnsi="Arial"/>
                <w:sz w:val="21"/>
                <w:szCs w:val="21"/>
                <w:color w:val="auto"/>
                <w:vertAlign w:val="superscript"/>
              </w:rPr>
              <w:t>(a)</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540</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24"/>
        </w:trPr>
        <w:tc>
          <w:tcPr>
            <w:tcW w:w="7100" w:type="dxa"/>
            <w:vAlign w:val="bottom"/>
          </w:tcPr>
          <w:p>
            <w:pPr>
              <w:ind w:left="20"/>
              <w:spacing w:after="0"/>
              <w:rPr>
                <w:sz w:val="20"/>
                <w:szCs w:val="20"/>
                <w:color w:val="auto"/>
              </w:rPr>
            </w:pPr>
            <w:r>
              <w:rPr>
                <w:rFonts w:ascii="Arial" w:cs="Arial" w:eastAsia="Arial" w:hAnsi="Arial"/>
                <w:sz w:val="16"/>
                <w:szCs w:val="16"/>
                <w:color w:val="auto"/>
              </w:rPr>
              <w:t>Taxes accrued</w:t>
            </w:r>
          </w:p>
        </w:tc>
        <w:tc>
          <w:tcPr>
            <w:tcW w:w="360" w:type="dxa"/>
            <w:vAlign w:val="bottom"/>
          </w:tcPr>
          <w:p>
            <w:pPr>
              <w:spacing w:after="0"/>
              <w:rPr>
                <w:sz w:val="19"/>
                <w:szCs w:val="19"/>
                <w:color w:val="auto"/>
              </w:rPr>
            </w:pPr>
          </w:p>
        </w:tc>
        <w:tc>
          <w:tcPr>
            <w:tcW w:w="1640" w:type="dxa"/>
            <w:vAlign w:val="bottom"/>
          </w:tcPr>
          <w:p>
            <w:pPr>
              <w:jc w:val="right"/>
              <w:ind w:right="5"/>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Primarily includes accrued payroll, bonuses and other incentives, vacation, and benefits.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Related Party Transactions</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Prior to completion of the separation on February 1, 2022, we engaged in transactions with affiliates of Exelon in the normal course of business, these affiliate transactions are summarized in the tables below. After February 1, 2022, all transactions with Exelon or its affiliates are no longer related party transactions.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Revenues from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Operating revenues from affiliates: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00" w:type="dxa"/>
            <w:vAlign w:val="bottom"/>
          </w:tcPr>
          <w:p>
            <w:pPr>
              <w:jc w:val="right"/>
              <w:ind w:right="983"/>
              <w:spacing w:after="0"/>
              <w:rPr>
                <w:sz w:val="20"/>
                <w:szCs w:val="20"/>
                <w:color w:val="auto"/>
              </w:rPr>
            </w:pPr>
            <w:r>
              <w:rPr>
                <w:rFonts w:ascii="Arial" w:cs="Arial" w:eastAsia="Arial" w:hAnsi="Arial"/>
                <w:sz w:val="13"/>
                <w:szCs w:val="13"/>
                <w:b w:val="1"/>
                <w:bCs w:val="1"/>
                <w:color w:val="auto"/>
              </w:rPr>
              <w:t>Six Months Ended June 30,</w:t>
            </w:r>
          </w:p>
        </w:tc>
      </w:tr>
      <w:tr>
        <w:trPr>
          <w:trHeight w:val="22"/>
        </w:trPr>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r>
        <w:trPr>
          <w:trHeight w:val="237"/>
        </w:trPr>
        <w:tc>
          <w:tcPr>
            <w:tcW w:w="7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jc w:val="right"/>
              <w:ind w:right="1543"/>
              <w:spacing w:after="0"/>
              <w:rPr>
                <w:sz w:val="20"/>
                <w:szCs w:val="20"/>
                <w:color w:val="auto"/>
              </w:rPr>
            </w:pPr>
            <w:r>
              <w:rPr>
                <w:rFonts w:ascii="Arial" w:cs="Arial" w:eastAsia="Arial" w:hAnsi="Arial"/>
                <w:sz w:val="13"/>
                <w:szCs w:val="13"/>
                <w:b w:val="1"/>
                <w:bCs w:val="1"/>
                <w:color w:val="auto"/>
              </w:rPr>
              <w:t>2022</w:t>
            </w:r>
            <w:r>
              <w:rPr>
                <w:rFonts w:ascii="Arial" w:cs="Arial" w:eastAsia="Arial" w:hAnsi="Arial"/>
                <w:sz w:val="16"/>
                <w:szCs w:val="16"/>
                <w:b w:val="1"/>
                <w:bCs w:val="1"/>
                <w:color w:val="auto"/>
                <w:vertAlign w:val="superscript"/>
              </w:rPr>
              <w:t>(a)</w:t>
            </w:r>
          </w:p>
        </w:tc>
      </w:tr>
      <w:tr>
        <w:trPr>
          <w:trHeight w:val="23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ComEd</w:t>
            </w:r>
            <w:r>
              <w:rPr>
                <w:rFonts w:ascii="Arial" w:cs="Arial" w:eastAsia="Arial" w:hAnsi="Arial"/>
                <w:sz w:val="9"/>
                <w:szCs w:val="9"/>
                <w:color w:val="auto"/>
              </w:rPr>
              <w:t>(b)</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3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color w:val="auto"/>
              </w:rPr>
              <w:t>PECO</w:t>
            </w:r>
            <w:r>
              <w:rPr>
                <w:rFonts w:ascii="Arial" w:cs="Arial" w:eastAsia="Arial" w:hAnsi="Arial"/>
                <w:sz w:val="9"/>
                <w:szCs w:val="9"/>
                <w:color w:val="auto"/>
              </w:rPr>
              <w:t>(b)</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00" w:type="dxa"/>
            <w:vAlign w:val="bottom"/>
          </w:tcPr>
          <w:p>
            <w:pPr>
              <w:jc w:val="right"/>
              <w:ind w:right="3"/>
              <w:spacing w:after="0"/>
              <w:rPr>
                <w:sz w:val="20"/>
                <w:szCs w:val="20"/>
                <w:color w:val="auto"/>
              </w:rPr>
            </w:pPr>
            <w:r>
              <w:rPr>
                <w:rFonts w:ascii="Arial" w:cs="Arial" w:eastAsia="Arial" w:hAnsi="Arial"/>
                <w:sz w:val="16"/>
                <w:szCs w:val="16"/>
                <w:color w:val="auto"/>
              </w:rPr>
              <w:t>33</w:t>
            </w:r>
          </w:p>
        </w:tc>
      </w:tr>
      <w:tr>
        <w:trPr>
          <w:trHeight w:val="24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BGE</w:t>
            </w:r>
            <w:r>
              <w:rPr>
                <w:rFonts w:ascii="Arial" w:cs="Arial" w:eastAsia="Arial" w:hAnsi="Arial"/>
                <w:sz w:val="9"/>
                <w:szCs w:val="9"/>
                <w:color w:val="auto"/>
              </w:rPr>
              <w:t>(b)</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18</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color w:val="auto"/>
              </w:rPr>
              <w:t>PHI</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00" w:type="dxa"/>
            <w:vAlign w:val="bottom"/>
          </w:tcPr>
          <w:p>
            <w:pPr>
              <w:jc w:val="right"/>
              <w:ind w:right="3"/>
              <w:spacing w:after="0"/>
              <w:rPr>
                <w:sz w:val="20"/>
                <w:szCs w:val="20"/>
                <w:color w:val="auto"/>
              </w:rPr>
            </w:pPr>
            <w:r>
              <w:rPr>
                <w:rFonts w:ascii="Arial" w:cs="Arial" w:eastAsia="Arial" w:hAnsi="Arial"/>
                <w:sz w:val="16"/>
                <w:szCs w:val="16"/>
                <w:color w:val="auto"/>
              </w:rPr>
              <w:t>51</w:t>
            </w:r>
          </w:p>
        </w:tc>
      </w:tr>
      <w:tr>
        <w:trPr>
          <w:trHeight w:val="246"/>
        </w:trPr>
        <w:tc>
          <w:tcPr>
            <w:tcW w:w="7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Pepco</w:t>
            </w:r>
            <w:r>
              <w:rPr>
                <w:rFonts w:ascii="Arial" w:cs="Arial" w:eastAsia="Arial" w:hAnsi="Arial"/>
                <w:sz w:val="9"/>
                <w:szCs w:val="9"/>
                <w:color w:val="auto"/>
              </w:rPr>
              <w:t>(b)</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39</w:t>
            </w:r>
          </w:p>
        </w:tc>
      </w:tr>
      <w:tr>
        <w:trPr>
          <w:trHeight w:val="233"/>
        </w:trPr>
        <w:tc>
          <w:tcPr>
            <w:tcW w:w="7500" w:type="dxa"/>
            <w:vAlign w:val="bottom"/>
          </w:tcPr>
          <w:p>
            <w:pPr>
              <w:ind w:left="240"/>
              <w:spacing w:after="0"/>
              <w:rPr>
                <w:sz w:val="20"/>
                <w:szCs w:val="20"/>
                <w:color w:val="auto"/>
              </w:rPr>
            </w:pPr>
            <w:r>
              <w:rPr>
                <w:rFonts w:ascii="Arial" w:cs="Arial" w:eastAsia="Arial" w:hAnsi="Arial"/>
                <w:sz w:val="16"/>
                <w:szCs w:val="16"/>
                <w:color w:val="auto"/>
              </w:rPr>
              <w:t>DPL</w:t>
            </w:r>
            <w:r>
              <w:rPr>
                <w:rFonts w:ascii="Arial" w:cs="Arial" w:eastAsia="Arial" w:hAnsi="Arial"/>
                <w:sz w:val="9"/>
                <w:szCs w:val="9"/>
                <w:color w:val="auto"/>
              </w:rPr>
              <w:t>(b)</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00" w:type="dxa"/>
            <w:vAlign w:val="bottom"/>
          </w:tcPr>
          <w:p>
            <w:pPr>
              <w:jc w:val="right"/>
              <w:ind w:right="3"/>
              <w:spacing w:after="0"/>
              <w:rPr>
                <w:sz w:val="20"/>
                <w:szCs w:val="20"/>
                <w:color w:val="auto"/>
              </w:rPr>
            </w:pPr>
            <w:r>
              <w:rPr>
                <w:rFonts w:ascii="Arial" w:cs="Arial" w:eastAsia="Arial" w:hAnsi="Arial"/>
                <w:sz w:val="16"/>
                <w:szCs w:val="16"/>
                <w:color w:val="auto"/>
              </w:rPr>
              <w:t>10</w:t>
            </w:r>
          </w:p>
        </w:tc>
      </w:tr>
      <w:tr>
        <w:trPr>
          <w:trHeight w:val="253"/>
        </w:trPr>
        <w:tc>
          <w:tcPr>
            <w:tcW w:w="7500" w:type="dxa"/>
            <w:vAlign w:val="bottom"/>
            <w:shd w:val="clear" w:color="auto" w:fill="CCEEFF"/>
          </w:tcPr>
          <w:p>
            <w:pPr>
              <w:ind w:left="240"/>
              <w:spacing w:after="0" w:line="252" w:lineRule="exact"/>
              <w:rPr>
                <w:sz w:val="20"/>
                <w:szCs w:val="20"/>
                <w:color w:val="auto"/>
              </w:rPr>
            </w:pPr>
            <w:r>
              <w:rPr>
                <w:rFonts w:ascii="Arial" w:cs="Arial" w:eastAsia="Arial" w:hAnsi="Arial"/>
                <w:sz w:val="29"/>
                <w:szCs w:val="29"/>
                <w:color w:val="auto"/>
                <w:vertAlign w:val="subscript"/>
              </w:rPr>
              <w:t>ACE</w:t>
            </w:r>
            <w:r>
              <w:rPr>
                <w:rFonts w:ascii="Arial" w:cs="Arial" w:eastAsia="Arial" w:hAnsi="Arial"/>
                <w:sz w:val="9"/>
                <w:szCs w:val="9"/>
                <w:color w:val="auto"/>
              </w:rPr>
              <w:t>(b)</w:t>
            </w:r>
          </w:p>
        </w:tc>
        <w:tc>
          <w:tcPr>
            <w:tcW w:w="14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3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w:t>
            </w: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color w:val="auto"/>
              </w:rPr>
              <w:t>Total operating revenues from affiliates</w:t>
            </w:r>
          </w:p>
        </w:tc>
        <w:tc>
          <w:tcPr>
            <w:tcW w:w="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100" w:type="dxa"/>
            <w:vAlign w:val="bottom"/>
          </w:tcPr>
          <w:p>
            <w:pPr>
              <w:jc w:val="right"/>
              <w:ind w:right="3"/>
              <w:spacing w:after="0"/>
              <w:rPr>
                <w:sz w:val="20"/>
                <w:szCs w:val="20"/>
                <w:color w:val="auto"/>
              </w:rPr>
            </w:pPr>
            <w:r>
              <w:rPr>
                <w:rFonts w:ascii="Arial" w:cs="Arial" w:eastAsia="Arial" w:hAnsi="Arial"/>
                <w:sz w:val="16"/>
                <w:szCs w:val="16"/>
                <w:color w:val="auto"/>
              </w:rPr>
              <w:t>160</w:t>
            </w:r>
          </w:p>
        </w:tc>
      </w:tr>
      <w:tr>
        <w:trPr>
          <w:trHeight w:val="27"/>
        </w:trPr>
        <w:tc>
          <w:tcPr>
            <w:tcW w:w="7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3100" w:type="dxa"/>
            <w:vAlign w:val="bottom"/>
            <w:tcBorders>
              <w:top w:val="single" w:sz="8" w:color="auto"/>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only January 2022 activity prior to separation on February 1, 2022.</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See Note 24 - Related Party Transactions of our 2022 Form 10-K for additional information on the Exelon utility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Company Costs for Corporate Support</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received a variety of corporate support services from Exelon. Through its business services subsidiary, BSC, Exelon provided support services at cost, including legal, human resources, financial, information technology, and supply management services. The costs of BSC were directly charged or allocated to us. Certain of these services continue after the separation and are covered by the TSA. The operating and maintenance service company costs from affiliates allocated to us prior to the separation were $44 million for the six months ended June 30, 2022. The capitalized service company costs allocated to us prior to the separation were $15 million for the six months ended June 30, 2022.</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See Note 1 — Basis of Presentation for additional information on the separation from Exelon.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millions, unless otherwise noted)</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Overview</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a supplier of clean energy. Our generating capacity includes primarily nuclear, wind, solar, natural gas and hydroelectric assets. Through our integrated business operations, we sell electricity, natural gas, and other energy-related products and sustainable solutions to various types of customers, including distribution utilities, municipalities, cooperatives, and commercial, industrial, governmental, and residential customers in markets across multiple geographic regions. We have five reportable segments: Mid-Atlantic, Midwest, New York, ERCOT and Other Power Regions.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Transactions and Developments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Separation from Exelon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21, 2021, Exelon’s Board of Directors approved a plan to separate its competitive generation and customer-facing energy businesses into a stand-alone publicly traded company (the "separation"). Exelon completed the separation on February 1, 2022. We incurred separation costs of $36 million and $31 million for the three months ended June 30, 2023 and 2022, respectively, and $66 million and $68 million for the six months ended June 30, 2023 and 2022, respectively, which are primarily recorded in Operating and maintenance expense. The separation costs are primarily comprised of system-related costs, third-party costs paid to advisors, consultants, lawyers, and other experts assisting in the separation. See Note 1 — Basis of Presentation of the Combined Notes to Consolidated Financial Statements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February 16, 2023, our Board of Directors announced a share repurchase program with a $1 billion authority without expiration. Repurchases under this program commenced in March 2023. During the three and six months ended June 30, 2023, we repurchased from the open market 3.0 million and 6.2 million shares of our common stock for a total cost of $252 million and $503 million, respectively. See Note 14 — Shareholders' Equity of the Combined Notes to Consolidated Financial Statements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Joint Ownership in South Texas Project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May 31, 2023, we entered into an Equity Purchase Agreement with Texas Genco GP, LLC and Texas Genco LP, LLC, subsidiaries of NRG Energy, Inc. (NRG), for the acquisition of NRG’s 44% undivided ownership interest in the jointly owned South Texas Project Nuclear Generating Station (STP), a 2,645-megawatt, dual-unit nuclear plant located in Bay City, Texas, for a cash purchase price of $1.75 billion. We expect to issue approximately $500 million of incremental debt to finance the transaction with the remainder of the purchase price being funded by existing cash and previously planned debt issuances. This acquisition is complementary to and aligned strategically with our existing clean energy business operations. Closing of the transaction is currently expected to occur by year end 2023. See Note 2 — Mergers, Acquisitions, and Dispositions of the Combined notes to the Consolidated Financial Statements for additional information on this acquisition.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Recognized for Illinois ZECs Delivered in Prior Planning Years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Clinton and Quad Cities units contract with certain utilities in Illinois which requires delivery of all ZECs produced during each planning year (June 1 to May 31), with total compensation limited by an annual cap for each planning year designed to limit the cost of ZECs to each utility's customers. ZECs delivered that, if paid, would result in the annual cap being exceeded may be paid in subsequent years at the vintage year price as long as the payments would not exceed the annual cap in the year paid. In each planning year since the program commenced on June 1, 2017, we delivered ZECs to the utilities in excess of the annual compensation cap</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ZEC price and annual compensation cap effective for each planning year are administratively determined by the IPA. For the June 1, 2023 to May 31, 2024 planning year, the ZEC price has been established at $0.30 per ZEC, subject to an annual cap of $224 million. ZECs generated and delivered during this planning year will not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exceed the annual cap, providing capacity to compensate for ZECs delivered in prior planning years in excess of the compensation cap. During the second quarter of 2023, we recognized $218 million of revenue as a receivable for ZECs delivered in prior planning years, with payment expected in the third quarter of 2024. As of June 30, 2023, this receivable is included within Other deferred debits and other assets in the Consolidated Balance Sheets.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Key Business Drivers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Russia and Ukraine Conflict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closely monitoring developments of the Russia and Ukraine conflict including United States, United Kingdom, European Union, and Canadian sanctions against Russian energy exports, the potential for sanctions on Russian nuclear fuel supply, and enrichment activities, as well as yet undefined action by Russia to limit energy deliveries. To-date, our nuclear fuel deliveries have not been affected by the Russia and Ukraine conflict. Our nuclear fuel is obtained predominantly through long-term uranium supply and service contracts. We work with a diverse set of domestic and international suppliers years in advance to procure our nuclear fuel and generally have enough nuclear fuel to support all our refueling needs for multiple years regardless of sanctions. Recognizing the potential for the continuing conflict to impact our longer-term security and cost of supply, we have entered into contracts to increase the size of our nuclear fuel inventory. We are taking this affirmative action by working with our diverse set of suppliers to ensure we can secure the nuclear fuel needed to continue to operate our nuclear fleet long-term and provide the necessary fuel to bridge potential Russian supply disruption through 2028, which is the date multiple suppliers are expected to have incremental additional capacity online. We are also continuing to work with federal policymakers and other stakeholders to facilitate the expansion of the domestic nuclear fuel cycle within the United States to improve carbon-free energy security.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Strategy</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exposed to commodity price risk associated with the unhedged portion of our electricity portfolio. We enter into non-derivative and derivative contracts, including options, swaps, and forward and futures contracts, all with credit-approved counterparties, to hedge this anticipated exposure. For merchant revenues not already hedged via comprehensive state programs, such as the CMC in Illinois, historically we have used a three-year ratable sales plan to align our hedging strategy with our financial objectives. As a result, our prompt three-year merchant revenues have been hedged on an approximate rolling 90%/60%/30% basis. We may also enter into transactions that are outside of this ratable hedging program. As of June 30, 2023, the percentage of expected generation hedged for the Mid-Atlantic, Midwest, New York, and ERCOT reportable segments is 95%-98% and 77%-80% for 2023 and 2024, respectively. Going forward, we will continue to be proactive in managing our overall portfolio exposure to commodity risk, but will also manage our generation portfolio through the nuclear PTC, which, starting in 2024, provides downside commodity price protection for our nuclear units. Like our traditional hedging program, the nuclear PTC is an important tool in managing commodity risk.</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procure natural gas through long-term and short-term contracts and spot-market purchases. Nuclear fuel assemblies are obtained predominantly through long-term uranium concentrate supply contracts, contracted conversion services, contracted enrichment services, or a combination thereof, and contracted fuel fabrication services. The supply markets for uranium concentrates and certain nuclear fuel services are subject to price fluctuations and availability restrictions. Approximately 50% of our uranium concentrate requirements for the remainder of 2023 through 2027 are supplied by three suppliers. In the event of non-performance by these or other suppliers, we believe that replacement uranium concentrate can be obtained, although at prices that may be unfavorable when compared to the prices under the current supply agreements. Geopolitical developments, including the Russia and Ukraine conflict and United States, United Kingdom, European Union, and Canadian sanctions against Russia, have the potential to impact delivery from multiple suppliers in the international uranium processing industry. Non-performance by these counterparties could have a material adverse impact on our consolidated financial statements.</w:t>
      </w: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See Note 10 — Derivative Financial Instruments of the Combined Notes to Consolidated Financial Statements and ITEM 3. QUANTITATIVE AND QUALITATIVE DISCLOSURES ABOUT MARKET RISK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Management makes a number of significant estimates, assumptions, and judgements in the preparation of our financial statements. At June 30, 2023, the Registrants’ critical accounting policies and estimates had not changed significantly from December 31, 2022. See ITEM 7. MANAGEMENT'S DISCUSSION AND ANALYSIS OF FINANCIAL CONDITION AND RESULTS OF OPERATIONS — Critical Accounting Policies and Estimates in our 2022 Form 10-K for further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of Operations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GAAP Results of Operations. </w:t>
      </w:r>
      <w:r>
        <w:rPr>
          <w:rFonts w:ascii="Arial" w:cs="Arial" w:eastAsia="Arial" w:hAnsi="Arial"/>
          <w:sz w:val="16"/>
          <w:szCs w:val="16"/>
          <w:color w:val="auto"/>
        </w:rPr>
        <w:t>The following table sets forth our consolidated GAAP Net Income (Loss) Attributable to Common Shareholders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six months ended June 30, 2023 compared to the same periods in 2022. For additional information regarding the financial results for the three and six months ended June 30, 2023 and 2022 see the discussions of Results of Operations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4"/>
          </w:tcPr>
          <w:p>
            <w:pPr>
              <w:jc w:val="right"/>
              <w:ind w:right="68"/>
              <w:spacing w:after="0"/>
              <w:rPr>
                <w:sz w:val="20"/>
                <w:szCs w:val="20"/>
                <w:color w:val="auto"/>
              </w:rPr>
            </w:pPr>
            <w:r>
              <w:rPr>
                <w:rFonts w:ascii="Arial" w:cs="Arial" w:eastAsia="Arial" w:hAnsi="Arial"/>
                <w:sz w:val="13"/>
                <w:szCs w:val="13"/>
                <w:b w:val="1"/>
                <w:bCs w:val="1"/>
                <w:color w:val="auto"/>
                <w:w w:val="97"/>
              </w:rPr>
              <w:t>Three Months Ended June 30,</w:t>
            </w:r>
          </w:p>
        </w:tc>
        <w:tc>
          <w:tcPr>
            <w:tcW w:w="120" w:type="dxa"/>
            <w:vAlign w:val="bottom"/>
          </w:tcPr>
          <w:p>
            <w:pPr>
              <w:spacing w:after="0"/>
              <w:rPr>
                <w:sz w:val="15"/>
                <w:szCs w:val="15"/>
                <w:color w:val="auto"/>
              </w:rPr>
            </w:pPr>
          </w:p>
        </w:tc>
        <w:tc>
          <w:tcPr>
            <w:tcW w:w="980" w:type="dxa"/>
            <w:vAlign w:val="bottom"/>
            <w:vMerge w:val="restart"/>
          </w:tcPr>
          <w:p>
            <w:pPr>
              <w:ind w:left="420"/>
              <w:spacing w:after="0"/>
              <w:rPr>
                <w:sz w:val="20"/>
                <w:szCs w:val="20"/>
                <w:color w:val="auto"/>
              </w:rPr>
            </w:pPr>
            <w:r>
              <w:rPr>
                <w:rFonts w:ascii="Arial" w:cs="Arial" w:eastAsia="Arial" w:hAnsi="Arial"/>
                <w:sz w:val="13"/>
                <w:szCs w:val="13"/>
                <w:color w:val="auto"/>
                <w:w w:val="93"/>
              </w:rPr>
              <w:t>Favorable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tcPr>
          <w:p>
            <w:pPr>
              <w:jc w:val="right"/>
              <w:ind w:right="148"/>
              <w:spacing w:after="0"/>
              <w:rPr>
                <w:sz w:val="20"/>
                <w:szCs w:val="20"/>
                <w:color w:val="auto"/>
              </w:rPr>
            </w:pPr>
            <w:r>
              <w:rPr>
                <w:rFonts w:ascii="Arial" w:cs="Arial" w:eastAsia="Arial" w:hAnsi="Arial"/>
                <w:sz w:val="13"/>
                <w:szCs w:val="13"/>
                <w:b w:val="1"/>
                <w:bCs w:val="1"/>
                <w:color w:val="auto"/>
                <w:w w:val="99"/>
              </w:rPr>
              <w:t>Six Months Ended June 30,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ind w:left="160"/>
              <w:spacing w:after="0"/>
              <w:rPr>
                <w:sz w:val="20"/>
                <w:szCs w:val="20"/>
                <w:color w:val="auto"/>
              </w:rPr>
            </w:pPr>
            <w:r>
              <w:rPr>
                <w:rFonts w:ascii="Arial" w:cs="Arial" w:eastAsia="Arial" w:hAnsi="Arial"/>
                <w:sz w:val="13"/>
                <w:szCs w:val="13"/>
                <w:color w:val="auto"/>
              </w:rPr>
              <w:t>Favorable</w:t>
            </w:r>
          </w:p>
        </w:tc>
        <w:tc>
          <w:tcPr>
            <w:tcW w:w="0" w:type="dxa"/>
            <w:vAlign w:val="bottom"/>
          </w:tcPr>
          <w:p>
            <w:pPr>
              <w:spacing w:after="0"/>
              <w:rPr>
                <w:sz w:val="1"/>
                <w:szCs w:val="1"/>
                <w:color w:val="auto"/>
              </w:rPr>
            </w:pPr>
          </w:p>
        </w:tc>
      </w:tr>
      <w:tr>
        <w:trPr>
          <w:trHeight w:val="35"/>
        </w:trPr>
        <w:tc>
          <w:tcPr>
            <w:tcW w:w="4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9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980" w:type="dxa"/>
            <w:vAlign w:val="bottom"/>
          </w:tcPr>
          <w:p>
            <w:pPr>
              <w:ind w:left="420"/>
              <w:spacing w:after="0"/>
              <w:rPr>
                <w:sz w:val="20"/>
                <w:szCs w:val="20"/>
                <w:color w:val="auto"/>
              </w:rPr>
            </w:pPr>
            <w:r>
              <w:rPr>
                <w:rFonts w:ascii="Arial" w:cs="Arial" w:eastAsia="Arial" w:hAnsi="Arial"/>
                <w:sz w:val="13"/>
                <w:szCs w:val="13"/>
                <w:color w:val="auto"/>
              </w:rPr>
              <w:t>Variance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7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Arial" w:cs="Arial" w:eastAsia="Arial" w:hAnsi="Arial"/>
                <w:sz w:val="13"/>
                <w:szCs w:val="13"/>
                <w:color w:val="auto"/>
              </w:rPr>
              <w:t>Variance</w:t>
            </w:r>
          </w:p>
        </w:tc>
        <w:tc>
          <w:tcPr>
            <w:tcW w:w="0" w:type="dxa"/>
            <w:vAlign w:val="bottom"/>
          </w:tcPr>
          <w:p>
            <w:pPr>
              <w:spacing w:after="0"/>
              <w:rPr>
                <w:sz w:val="1"/>
                <w:szCs w:val="1"/>
                <w:color w:val="auto"/>
              </w:rPr>
            </w:pPr>
          </w:p>
        </w:tc>
      </w:tr>
      <w:tr>
        <w:trPr>
          <w:trHeight w:val="22"/>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Net Income (Loss) Attributable to Common</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833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100" w:type="dxa"/>
            <w:vAlign w:val="bottom"/>
            <w:gridSpan w:val="2"/>
            <w:shd w:val="clear" w:color="auto" w:fill="CCEEFF"/>
          </w:tcPr>
          <w:p>
            <w:pPr>
              <w:jc w:val="right"/>
              <w:ind w:right="797"/>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944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Adjusted EBITDA (non-GAAP). </w:t>
      </w:r>
      <w:r>
        <w:rPr>
          <w:rFonts w:ascii="Arial" w:cs="Arial" w:eastAsia="Arial" w:hAnsi="Arial"/>
          <w:sz w:val="16"/>
          <w:szCs w:val="16"/>
          <w:color w:val="auto"/>
        </w:rPr>
        <w:t>In analyzing and planning for our business, we supplement our use of GAAP Net Income (Loss) Attributable to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with Adjusted EBITDA (non-GAAP) as a performance measure. Adjusted EBITDA (non-GAAP) reflects an additional way of viewing our business that, when viewed with our GAAP results and the accompanying reconciliation to GAAP Net Income (Loss) Attributable to Common Shareholders included in the table below, may provide a more complete understanding of factors and trends affecting our core business. Adjusted EBITDA (non-GAAP) should not be relied upon to the exclusion of GAAP financial measures and is, by definition, an incomplete understanding of our business, and must be considered in conjunction with GAAP measures. In addition, Adjusted EBITDA (non-GAAP) is neither a standardized financial measure, nor a presentation defined under GAAP and may not be comparable to other companies’ presentations of similarly titled financial measures or deemed more useful than the GAAP information provided elsewhere in this report.</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provides a reconciliation between Net Income (Loss) Attributable to Common Shareholders as determined in accordance with GAAP and Adjusted EBITDA (non-GAAP) for the three and six months ended June 30, 2023 compared to the same periods in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Six Months Ended</w:t>
            </w:r>
          </w:p>
        </w:tc>
      </w:tr>
      <w:tr>
        <w:trPr>
          <w:trHeight w:val="176"/>
        </w:trPr>
        <w:tc>
          <w:tcPr>
            <w:tcW w:w="6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6"/>
              </w:rPr>
              <w:t>Three Months Ended June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June 30,</w:t>
            </w:r>
          </w:p>
        </w:tc>
        <w:tc>
          <w:tcPr>
            <w:tcW w:w="720" w:type="dxa"/>
            <w:vAlign w:val="bottom"/>
          </w:tcPr>
          <w:p>
            <w:pPr>
              <w:spacing w:after="0"/>
              <w:rPr>
                <w:sz w:val="15"/>
                <w:szCs w:val="15"/>
                <w:color w:val="auto"/>
              </w:rPr>
            </w:pPr>
          </w:p>
        </w:tc>
      </w:tr>
      <w:tr>
        <w:trPr>
          <w:trHeight w:val="22"/>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4"/>
        </w:trPr>
        <w:tc>
          <w:tcPr>
            <w:tcW w:w="6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0"/>
              <w:spacing w:after="0"/>
              <w:rPr>
                <w:sz w:val="20"/>
                <w:szCs w:val="20"/>
                <w:color w:val="auto"/>
              </w:rPr>
            </w:pPr>
            <w:r>
              <w:rPr>
                <w:rFonts w:ascii="Arial" w:cs="Arial" w:eastAsia="Arial" w:hAnsi="Arial"/>
                <w:sz w:val="13"/>
                <w:szCs w:val="13"/>
                <w:b w:val="1"/>
                <w:bCs w:val="1"/>
                <w:color w:val="auto"/>
              </w:rPr>
              <w:t>2022</w:t>
            </w:r>
          </w:p>
        </w:tc>
      </w:tr>
      <w:tr>
        <w:trPr>
          <w:trHeight w:val="22"/>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6880" w:type="dxa"/>
            <w:vAlign w:val="bottom"/>
          </w:tcPr>
          <w:p>
            <w:pPr>
              <w:ind w:left="20"/>
              <w:spacing w:after="0"/>
              <w:rPr>
                <w:sz w:val="20"/>
                <w:szCs w:val="20"/>
                <w:color w:val="auto"/>
              </w:rPr>
            </w:pPr>
            <w:r>
              <w:rPr>
                <w:rFonts w:ascii="Arial" w:cs="Arial" w:eastAsia="Arial" w:hAnsi="Arial"/>
                <w:sz w:val="16"/>
                <w:szCs w:val="16"/>
                <w:color w:val="auto"/>
              </w:rPr>
              <w:t>Income Taxes</w:t>
            </w:r>
            <w:r>
              <w:rPr>
                <w:rFonts w:ascii="Arial" w:cs="Arial" w:eastAsia="Arial" w:hAnsi="Arial"/>
                <w:sz w:val="21"/>
                <w:szCs w:val="21"/>
                <w:color w:val="auto"/>
                <w:vertAlign w:val="superscript"/>
              </w:rPr>
              <w:t>(a)</w:t>
            </w:r>
          </w:p>
        </w:tc>
        <w:tc>
          <w:tcPr>
            <w:tcW w:w="14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23"/>
        </w:trPr>
        <w:tc>
          <w:tcPr>
            <w:tcW w:w="68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Loss on Fair Value Adjustments</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23"/>
        </w:trPr>
        <w:tc>
          <w:tcPr>
            <w:tcW w:w="6880" w:type="dxa"/>
            <w:vAlign w:val="bottom"/>
          </w:tcPr>
          <w:p>
            <w:pPr>
              <w:ind w:left="20"/>
              <w:spacing w:after="0"/>
              <w:rPr>
                <w:sz w:val="20"/>
                <w:szCs w:val="20"/>
                <w:color w:val="auto"/>
              </w:rPr>
            </w:pPr>
            <w:r>
              <w:rPr>
                <w:rFonts w:ascii="Arial" w:cs="Arial" w:eastAsia="Arial" w:hAnsi="Arial"/>
                <w:sz w:val="16"/>
                <w:szCs w:val="16"/>
                <w:color w:val="auto"/>
              </w:rPr>
              <w:t>Plant Retirements and Divestitures</w:t>
            </w:r>
          </w:p>
        </w:tc>
        <w:tc>
          <w:tcPr>
            <w:tcW w:w="1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Decommissioning-Related Activities</w:t>
            </w:r>
            <w:r>
              <w:rPr>
                <w:rFonts w:ascii="Arial" w:cs="Arial" w:eastAsia="Arial" w:hAnsi="Arial"/>
                <w:sz w:val="21"/>
                <w:szCs w:val="21"/>
                <w:color w:val="auto"/>
                <w:vertAlign w:val="superscript"/>
              </w:rPr>
              <w:t>(c)</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33"/>
        </w:trPr>
        <w:tc>
          <w:tcPr>
            <w:tcW w:w="6880" w:type="dxa"/>
            <w:vAlign w:val="bottom"/>
          </w:tcPr>
          <w:p>
            <w:pPr>
              <w:ind w:left="20"/>
              <w:spacing w:after="0"/>
              <w:rPr>
                <w:sz w:val="20"/>
                <w:szCs w:val="20"/>
                <w:color w:val="auto"/>
              </w:rPr>
            </w:pPr>
            <w:r>
              <w:rPr>
                <w:rFonts w:ascii="Arial" w:cs="Arial" w:eastAsia="Arial" w:hAnsi="Arial"/>
                <w:sz w:val="16"/>
                <w:szCs w:val="16"/>
                <w:color w:val="auto"/>
              </w:rPr>
              <w:t>Pension &amp; OPEB Non-Service Credits</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6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Separation Costs</w:t>
            </w:r>
            <w:r>
              <w:rPr>
                <w:rFonts w:ascii="Arial" w:cs="Arial" w:eastAsia="Arial" w:hAnsi="Arial"/>
                <w:sz w:val="21"/>
                <w:szCs w:val="21"/>
                <w:color w:val="auto"/>
                <w:vertAlign w:val="superscript"/>
              </w:rPr>
              <w:t>(d)</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6880" w:type="dxa"/>
            <w:vAlign w:val="bottom"/>
          </w:tcPr>
          <w:p>
            <w:pPr>
              <w:ind w:left="20"/>
              <w:spacing w:after="0"/>
              <w:rPr>
                <w:sz w:val="20"/>
                <w:szCs w:val="20"/>
                <w:color w:val="auto"/>
              </w:rPr>
            </w:pPr>
            <w:r>
              <w:rPr>
                <w:rFonts w:ascii="Arial" w:cs="Arial" w:eastAsia="Arial" w:hAnsi="Arial"/>
                <w:sz w:val="16"/>
                <w:szCs w:val="16"/>
                <w:color w:val="auto"/>
              </w:rPr>
              <w:t>ERP System Implementation Costs</w:t>
            </w:r>
            <w:r>
              <w:rPr>
                <w:rFonts w:ascii="Arial" w:cs="Arial" w:eastAsia="Arial" w:hAnsi="Arial"/>
                <w:sz w:val="21"/>
                <w:szCs w:val="21"/>
                <w:color w:val="auto"/>
                <w:vertAlign w:val="superscript"/>
              </w:rPr>
              <w:t>(e)</w:t>
            </w:r>
          </w:p>
        </w:tc>
        <w:tc>
          <w:tcPr>
            <w:tcW w:w="14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6"/>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Environmental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6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r>
              <w:rPr>
                <w:rFonts w:ascii="Arial" w:cs="Arial" w:eastAsia="Arial" w:hAnsi="Arial"/>
                <w:sz w:val="21"/>
                <w:szCs w:val="21"/>
                <w:color w:val="auto"/>
                <w:vertAlign w:val="superscript"/>
              </w:rPr>
              <w:t>(f)</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5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2022, includes amounts contractually owed to Exelon under the tax matters agreement reflected in Other, net.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mark-to-market on economic hedges and fair value adjustments related to gas imbalances and equity investments.</w:t>
      </w:r>
    </w:p>
    <w:p>
      <w:pPr>
        <w:spacing w:after="0" w:line="21" w:lineRule="exact"/>
        <w:rPr>
          <w:rFonts w:ascii="Arial" w:cs="Arial" w:eastAsia="Arial" w:hAnsi="Arial"/>
          <w:sz w:val="14"/>
          <w:szCs w:val="14"/>
          <w:color w:val="auto"/>
        </w:rPr>
      </w:pPr>
    </w:p>
    <w:p>
      <w:pPr>
        <w:ind w:left="340" w:hanging="332"/>
        <w:spacing w:after="0" w:line="25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all gains and losses associated with NDTs, ARO accretion, ARO remeasurement, and any earnings neutral impacts of contractual offset for Regulatory Agreement Units.</w:t>
      </w:r>
    </w:p>
    <w:p>
      <w:pPr>
        <w:spacing w:after="0" w:line="1" w:lineRule="exact"/>
        <w:rPr>
          <w:rFonts w:ascii="Arial" w:cs="Arial" w:eastAsia="Arial" w:hAnsi="Arial"/>
          <w:sz w:val="14"/>
          <w:szCs w:val="14"/>
          <w:color w:val="auto"/>
        </w:rPr>
      </w:pPr>
    </w:p>
    <w:p>
      <w:pPr>
        <w:ind w:left="340" w:hanging="332"/>
        <w:spacing w:after="0" w:line="259"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certain incremental costs related to the separation (system-related costs, third-party costs paid to advisors, consultants, lawyers, and other experts assisting in the separation), including a portion of the amounts billed to us pursuant to the TSA.</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costs related to a multi-year Enterprise Resource Program (ERP) system implementation.</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elimination from results for the noncontrolling interests related to certain adjustments.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7"/>
              </w:rPr>
              <w:t>Three Months Ended June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Favorable</w:t>
            </w:r>
          </w:p>
        </w:tc>
        <w:tc>
          <w:tcPr>
            <w:tcW w:w="180" w:type="dxa"/>
            <w:vAlign w:val="bottom"/>
          </w:tcPr>
          <w:p>
            <w:pPr>
              <w:spacing w:after="0"/>
              <w:rPr>
                <w:sz w:val="13"/>
                <w:szCs w:val="13"/>
                <w:color w:val="auto"/>
              </w:rPr>
            </w:pPr>
          </w:p>
        </w:tc>
        <w:tc>
          <w:tcPr>
            <w:tcW w:w="192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8"/>
              </w:rPr>
              <w:t>Six Months Ended June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82"/>
              <w:spacing w:after="0"/>
              <w:rPr>
                <w:sz w:val="20"/>
                <w:szCs w:val="20"/>
                <w:color w:val="auto"/>
              </w:rPr>
            </w:pPr>
            <w:r>
              <w:rPr>
                <w:rFonts w:ascii="Arial" w:cs="Arial" w:eastAsia="Arial" w:hAnsi="Arial"/>
                <w:sz w:val="13"/>
                <w:szCs w:val="13"/>
                <w:b w:val="1"/>
                <w:bCs w:val="1"/>
                <w:color w:val="auto"/>
                <w:w w:val="97"/>
              </w:rPr>
              <w:t>Favorable</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restart"/>
          </w:tcPr>
          <w:p>
            <w:pPr>
              <w:jc w:val="center"/>
              <w:ind w:right="300"/>
              <w:spacing w:after="0" w:line="108" w:lineRule="exact"/>
              <w:rPr>
                <w:sz w:val="20"/>
                <w:szCs w:val="20"/>
                <w:color w:val="auto"/>
              </w:rPr>
            </w:pPr>
            <w:r>
              <w:rPr>
                <w:rFonts w:ascii="Arial" w:cs="Arial" w:eastAsia="Arial" w:hAnsi="Arial"/>
                <w:sz w:val="12"/>
                <w:szCs w:val="12"/>
                <w:b w:val="1"/>
                <w:bCs w:val="1"/>
                <w:color w:val="auto"/>
              </w:rPr>
              <w:t>(Unfavorable)</w:t>
            </w: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restart"/>
          </w:tcPr>
          <w:p>
            <w:pPr>
              <w:jc w:val="center"/>
              <w:ind w:right="102"/>
              <w:spacing w:after="0" w:line="108" w:lineRule="exact"/>
              <w:rPr>
                <w:sz w:val="20"/>
                <w:szCs w:val="20"/>
                <w:color w:val="auto"/>
              </w:rPr>
            </w:pPr>
            <w:r>
              <w:rPr>
                <w:rFonts w:ascii="Arial" w:cs="Arial" w:eastAsia="Arial" w:hAnsi="Arial"/>
                <w:sz w:val="12"/>
                <w:szCs w:val="12"/>
                <w:b w:val="1"/>
                <w:bCs w:val="1"/>
                <w:color w:val="auto"/>
              </w:rPr>
              <w:t>(Unfavorable)</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restart"/>
          </w:tcPr>
          <w:p>
            <w:pPr>
              <w:jc w:val="right"/>
              <w:ind w:right="26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5"/>
              </w:rPr>
              <w:t>Variance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2"/>
              </w:rPr>
              <w:t>Variance</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5,446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Purchased power and fuel</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24"/>
        </w:trPr>
        <w:tc>
          <w:tcPr>
            <w:tcW w:w="4080" w:type="dxa"/>
            <w:vAlign w:val="bottom"/>
          </w:tcPr>
          <w:p>
            <w:pPr>
              <w:ind w:left="360"/>
              <w:spacing w:after="0"/>
              <w:rPr>
                <w:sz w:val="20"/>
                <w:szCs w:val="20"/>
                <w:color w:val="auto"/>
              </w:rPr>
            </w:pPr>
            <w:r>
              <w:rPr>
                <w:rFonts w:ascii="Arial" w:cs="Arial" w:eastAsia="Arial" w:hAnsi="Arial"/>
                <w:sz w:val="16"/>
                <w:szCs w:val="16"/>
                <w:color w:val="auto"/>
              </w:rPr>
              <w:t>Operating and maintenance</w:t>
            </w: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4"/>
        </w:trPr>
        <w:tc>
          <w:tcPr>
            <w:tcW w:w="4080" w:type="dxa"/>
            <w:vAlign w:val="bottom"/>
          </w:tcPr>
          <w:p>
            <w:pPr>
              <w:ind w:left="360"/>
              <w:spacing w:after="0"/>
              <w:rPr>
                <w:sz w:val="20"/>
                <w:szCs w:val="20"/>
                <w:color w:val="auto"/>
              </w:rPr>
            </w:pPr>
            <w:r>
              <w:rPr>
                <w:rFonts w:ascii="Arial" w:cs="Arial" w:eastAsia="Arial" w:hAnsi="Arial"/>
                <w:sz w:val="16"/>
                <w:szCs w:val="16"/>
                <w:color w:val="auto"/>
              </w:rPr>
              <w:t>Taxes other than income taxes</w:t>
            </w:r>
          </w:p>
        </w:tc>
        <w:tc>
          <w:tcPr>
            <w:tcW w:w="1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4,777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(Loss) gain on sales of assets and businesses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Other income and (deductions)</w:t>
            </w: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6"/>
        </w:trPr>
        <w:tc>
          <w:tcPr>
            <w:tcW w:w="408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other income and (deductions)</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1,171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1,786</w:t>
            </w:r>
          </w:p>
        </w:tc>
        <w:tc>
          <w:tcPr>
            <w:tcW w:w="0" w:type="dxa"/>
            <w:vAlign w:val="bottom"/>
          </w:tcPr>
          <w:p>
            <w:pPr>
              <w:spacing w:after="0"/>
              <w:rPr>
                <w:sz w:val="1"/>
                <w:szCs w:val="1"/>
                <w:color w:val="auto"/>
              </w:rPr>
            </w:pPr>
          </w:p>
        </w:tc>
      </w:tr>
      <w:tr>
        <w:trPr>
          <w:trHeight w:val="24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Equity in losses of unconsolidated affiliates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11"/>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w:t>
            </w: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interests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833</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944</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Three Months Ended June 30, 2023 Compared to Three Months Ended June 30, 2022. </w:t>
      </w:r>
      <w:r>
        <w:rPr>
          <w:rFonts w:ascii="Arial" w:cs="Arial" w:eastAsia="Arial" w:hAnsi="Arial"/>
          <w:sz w:val="16"/>
          <w:szCs w:val="16"/>
          <w:color w:val="auto"/>
        </w:rPr>
        <w:t>The variance in Net income (loss) attributable to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was favorable by $944 million primarily due to:</w:t>
      </w:r>
    </w:p>
    <w:p>
      <w:pPr>
        <w:spacing w:after="0" w:line="11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Favorable net realized and unrealized NDT activity;</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Favorable market and portfolio conditions primarily driven by higher contracted prices and generation-to-load optimization;</w:t>
      </w:r>
    </w:p>
    <w:p>
      <w:pPr>
        <w:spacing w:after="0" w:line="167" w:lineRule="exact"/>
        <w:rPr>
          <w:rFonts w:ascii="Arial" w:cs="Arial" w:eastAsia="Arial" w:hAnsi="Arial"/>
          <w:sz w:val="16"/>
          <w:szCs w:val="16"/>
          <w:color w:val="auto"/>
        </w:rPr>
      </w:pPr>
    </w:p>
    <w:p>
      <w:pPr>
        <w:ind w:left="980" w:hanging="324"/>
        <w:spacing w:after="0" w:line="293"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Unrealized gain resulting from an investment that became a publicly traded company in the second quarter of 2023 and was fair valued based on the quoted market price of the stock as of June 30, 2023;</w:t>
      </w:r>
    </w:p>
    <w:p>
      <w:pPr>
        <w:spacing w:after="0" w:line="104"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Favorable revenue recognized for ZECs delivered under the Illinois ZEC program in prior planning years; and</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Absence of a one-time discrete tax item related to the separation recognized in prior year.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favorable items were partially offset by:</w:t>
      </w:r>
    </w:p>
    <w:p>
      <w:pPr>
        <w:spacing w:after="0" w:line="167"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Higher labor, contracting and materials;</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Unfavorable impacts of nuclear outages;</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Lower capacity revenues; and</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Higher interest expense.</w:t>
      </w:r>
    </w:p>
    <w:p>
      <w:pPr>
        <w:spacing w:after="0" w:line="15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Six Months Ended June 30, 2023 Compared to Six Months Ended June 30, 2022. </w:t>
      </w:r>
      <w:r>
        <w:rPr>
          <w:rFonts w:ascii="Arial" w:cs="Arial" w:eastAsia="Arial" w:hAnsi="Arial"/>
          <w:sz w:val="16"/>
          <w:szCs w:val="16"/>
          <w:color w:val="auto"/>
        </w:rPr>
        <w:t>The variance in Net income (loss) attributable to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was favorable by $934 million primarily due to:</w:t>
      </w:r>
    </w:p>
    <w:p>
      <w:pPr>
        <w:spacing w:after="0" w:line="123"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Favorable net realized and unrealized NDT activity;</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Favorable market and portfolio conditions primarily driven by higher contracted prices and generation-to-load optimization;</w:t>
      </w:r>
    </w:p>
    <w:p>
      <w:pPr>
        <w:spacing w:after="0" w:line="180" w:lineRule="exact"/>
        <w:rPr>
          <w:rFonts w:ascii="Arial" w:cs="Arial" w:eastAsia="Arial" w:hAnsi="Arial"/>
          <w:sz w:val="16"/>
          <w:szCs w:val="16"/>
          <w:color w:val="auto"/>
        </w:rPr>
      </w:pPr>
    </w:p>
    <w:p>
      <w:pPr>
        <w:ind w:left="980" w:hanging="324"/>
        <w:spacing w:after="0" w:line="276" w:lineRule="auto"/>
        <w:tabs>
          <w:tab w:leader="none" w:pos="98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Unrealized gain resulting from an investment that became a publicly traded company in the second quarter of 2023 and was fair valued based on the quoted market price of the stock as of June 30, 2023;</w:t>
      </w:r>
    </w:p>
    <w:p>
      <w:pPr>
        <w:spacing w:after="0" w:line="116" w:lineRule="exact"/>
        <w:rPr>
          <w:rFonts w:ascii="Arial" w:cs="Arial" w:eastAsia="Arial" w:hAnsi="Arial"/>
          <w:sz w:val="16"/>
          <w:szCs w:val="16"/>
          <w:b w:val="1"/>
          <w:bCs w:val="1"/>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Favorable revenue recognized for ZECs delivered under the Illinois ZEC program in prior planning years; and</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Absence of a one-time discrete tax item related to the separation recognized in prior year.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favorable items were partially offset by:</w:t>
      </w:r>
    </w:p>
    <w:p>
      <w:pPr>
        <w:spacing w:after="0" w:line="181"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Higher labor, contracting and materials;</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Unfavorable mark-to-market activity;</w:t>
      </w:r>
    </w:p>
    <w:p>
      <w:pPr>
        <w:spacing w:after="0" w:line="167"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Lower capacity revenues;</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Unfavorable impacts of nuclear outages; and</w:t>
      </w:r>
    </w:p>
    <w:p>
      <w:pPr>
        <w:spacing w:after="0" w:line="153"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Higher interest expense.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Operating revenues. </w:t>
      </w:r>
      <w:r>
        <w:rPr>
          <w:rFonts w:ascii="Arial" w:cs="Arial" w:eastAsia="Arial" w:hAnsi="Arial"/>
          <w:sz w:val="16"/>
          <w:szCs w:val="16"/>
          <w:color w:val="auto"/>
        </w:rPr>
        <w:t>The basis for our reportable segments is the integrated management of our electricity business that is located in different geographic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regions, and largely representative of the footprints of ISO/RTO and/or NERC regions, which utilize multiple supply sources to provide electricity through various distribution channels (wholesale and retail). Our hedging strategies and risk metrics are also aligned with these same geographic regions. Our five</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reportable segments are Mid-Atlantic, Midwest, New York, ERCOT, and Other Power Regions. See Note 5 </w:t>
      </w:r>
      <w:r>
        <w:rPr>
          <w:rFonts w:ascii="Arial" w:cs="Arial" w:eastAsia="Arial" w:hAnsi="Arial"/>
          <w:sz w:val="17"/>
          <w:szCs w:val="17"/>
          <w:color w:val="auto"/>
        </w:rPr>
        <w:t>—</w:t>
      </w:r>
      <w:r>
        <w:rPr>
          <w:rFonts w:ascii="Arial" w:cs="Arial" w:eastAsia="Arial" w:hAnsi="Arial"/>
          <w:sz w:val="16"/>
          <w:szCs w:val="16"/>
          <w:color w:val="auto"/>
        </w:rPr>
        <w:t xml:space="preserve"> Segment Information of the Combined Notes to Consolidated Financial Statements for additional information on these reportable segments.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business activities are not allocated to a region and are reported under Other: wholesale and retail sales of natural gas, as well as other miscellaneous business activities that are not significant to overall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2023 compared to 2022, Operating revenues by region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right"/>
              <w:ind w:right="61"/>
              <w:spacing w:after="0"/>
              <w:rPr>
                <w:sz w:val="20"/>
                <w:szCs w:val="20"/>
                <w:color w:val="auto"/>
              </w:rPr>
            </w:pPr>
            <w:r>
              <w:rPr>
                <w:rFonts w:ascii="Arial" w:cs="Arial" w:eastAsia="Arial" w:hAnsi="Arial"/>
                <w:sz w:val="13"/>
                <w:szCs w:val="13"/>
                <w:b w:val="1"/>
                <w:bCs w:val="1"/>
                <w:color w:val="auto"/>
                <w:w w:val="95"/>
              </w:rPr>
              <w:t>Three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4"/>
          </w:tcPr>
          <w:p>
            <w:pPr>
              <w:jc w:val="right"/>
              <w:ind w:right="121"/>
              <w:spacing w:after="0"/>
              <w:rPr>
                <w:sz w:val="20"/>
                <w:szCs w:val="20"/>
                <w:color w:val="auto"/>
              </w:rPr>
            </w:pPr>
            <w:r>
              <w:rPr>
                <w:rFonts w:ascii="Arial" w:cs="Arial" w:eastAsia="Arial" w:hAnsi="Arial"/>
                <w:sz w:val="13"/>
                <w:szCs w:val="13"/>
                <w:b w:val="1"/>
                <w:bCs w:val="1"/>
                <w:color w:val="auto"/>
                <w:w w:val="98"/>
              </w:rPr>
              <w:t>Six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2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Variance</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Variance</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r>
      <w:tr>
        <w:trPr>
          <w:trHeight w:val="237"/>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40"/>
        </w:trPr>
        <w:tc>
          <w:tcPr>
            <w:tcW w:w="2440" w:type="dxa"/>
            <w:vAlign w:val="bottom"/>
          </w:tcPr>
          <w:p>
            <w:pPr>
              <w:ind w:left="20"/>
              <w:spacing w:after="0"/>
              <w:rPr>
                <w:sz w:val="20"/>
                <w:szCs w:val="20"/>
                <w:color w:val="auto"/>
              </w:rPr>
            </w:pPr>
            <w:r>
              <w:rPr>
                <w:rFonts w:ascii="Arial" w:cs="Arial" w:eastAsia="Arial" w:hAnsi="Arial"/>
                <w:sz w:val="16"/>
                <w:szCs w:val="16"/>
                <w:color w:val="auto"/>
              </w:rPr>
              <w:t>Midwest</w:t>
            </w:r>
          </w:p>
        </w:tc>
        <w:tc>
          <w:tcPr>
            <w:tcW w:w="12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1,101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229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2.7 %</w:t>
            </w:r>
          </w:p>
        </w:tc>
      </w:tr>
      <w:tr>
        <w:trPr>
          <w:trHeight w:val="239"/>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33.1 %</w:t>
            </w:r>
          </w:p>
        </w:tc>
      </w:tr>
      <w:tr>
        <w:trPr>
          <w:trHeight w:val="233"/>
        </w:trPr>
        <w:tc>
          <w:tcPr>
            <w:tcW w:w="2440" w:type="dxa"/>
            <w:vAlign w:val="bottom"/>
          </w:tcPr>
          <w:p>
            <w:pPr>
              <w:ind w:left="20"/>
              <w:spacing w:after="0"/>
              <w:rPr>
                <w:sz w:val="20"/>
                <w:szCs w:val="20"/>
                <w:color w:val="auto"/>
              </w:rPr>
            </w:pPr>
            <w:r>
              <w:rPr>
                <w:rFonts w:ascii="Arial" w:cs="Arial" w:eastAsia="Arial" w:hAnsi="Arial"/>
                <w:sz w:val="16"/>
                <w:szCs w:val="16"/>
                <w:color w:val="auto"/>
              </w:rPr>
              <w:t>ERCOT</w:t>
            </w:r>
          </w:p>
        </w:tc>
        <w:tc>
          <w:tcPr>
            <w:tcW w:w="12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(31.0)%</w:t>
            </w:r>
          </w:p>
        </w:tc>
      </w:tr>
      <w:tr>
        <w:trPr>
          <w:trHeight w:val="266"/>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2,903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27"/>
        </w:trPr>
        <w:tc>
          <w:tcPr>
            <w:tcW w:w="2440" w:type="dxa"/>
            <w:vAlign w:val="bottom"/>
          </w:tcPr>
          <w:p>
            <w:pPr>
              <w:ind w:left="20"/>
              <w:spacing w:after="0"/>
              <w:rPr>
                <w:sz w:val="20"/>
                <w:szCs w:val="20"/>
                <w:color w:val="auto"/>
              </w:rPr>
            </w:pPr>
            <w:r>
              <w:rPr>
                <w:rFonts w:ascii="Arial" w:cs="Arial" w:eastAsia="Arial" w:hAnsi="Arial"/>
                <w:sz w:val="16"/>
                <w:szCs w:val="16"/>
                <w:color w:val="auto"/>
              </w:rPr>
              <w:t>Total electric revenues</w:t>
            </w:r>
          </w:p>
        </w:tc>
        <w:tc>
          <w:tcPr>
            <w:tcW w:w="12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4,438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9,210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w:t>
            </w:r>
          </w:p>
        </w:tc>
      </w:tr>
      <w:tr>
        <w:trPr>
          <w:trHeight w:val="253"/>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2,661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24"/>
        </w:trPr>
        <w:tc>
          <w:tcPr>
            <w:tcW w:w="2440" w:type="dxa"/>
            <w:vAlign w:val="bottom"/>
          </w:tcPr>
          <w:p>
            <w:pPr>
              <w:ind w:left="20"/>
              <w:spacing w:after="0"/>
              <w:rPr>
                <w:sz w:val="20"/>
                <w:szCs w:val="20"/>
                <w:color w:val="auto"/>
              </w:rPr>
            </w:pPr>
            <w:r>
              <w:rPr>
                <w:rFonts w:ascii="Arial" w:cs="Arial" w:eastAsia="Arial" w:hAnsi="Arial"/>
                <w:sz w:val="16"/>
                <w:szCs w:val="16"/>
                <w:color w:val="auto"/>
              </w:rPr>
              <w:t>Mark-to-market gains (losses)</w:t>
            </w:r>
          </w:p>
        </w:tc>
        <w:tc>
          <w:tcPr>
            <w:tcW w:w="12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2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5,465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13,011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17.7 %</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Change in mark-to-market is not a meaningful measure.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Sales and Supply Sources. </w:t>
      </w:r>
      <w:r>
        <w:rPr>
          <w:rFonts w:ascii="Arial" w:cs="Arial" w:eastAsia="Arial" w:hAnsi="Arial"/>
          <w:sz w:val="16"/>
          <w:szCs w:val="16"/>
          <w:color w:val="auto"/>
        </w:rPr>
        <w:t>Our sales and supply sources by region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2020" w:type="dxa"/>
            <w:vAlign w:val="bottom"/>
            <w:gridSpan w:val="3"/>
          </w:tcPr>
          <w:p>
            <w:pPr>
              <w:jc w:val="right"/>
              <w:ind w:right="39"/>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3"/>
          </w:tcPr>
          <w:p>
            <w:pPr>
              <w:jc w:val="right"/>
              <w:ind w:right="139"/>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Supply Source (GWhs)</w:t>
            </w: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line="20" w:lineRule="exact"/>
              <w:rPr>
                <w:sz w:val="1"/>
                <w:szCs w:val="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Change</w:t>
            </w: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line="20" w:lineRule="exact"/>
              <w:rPr>
                <w:sz w:val="1"/>
                <w:szCs w:val="1"/>
                <w:color w:val="auto"/>
              </w:rPr>
            </w:pPr>
          </w:p>
        </w:tc>
        <w:tc>
          <w:tcPr>
            <w:tcW w:w="1080" w:type="dxa"/>
            <w:vAlign w:val="bottom"/>
            <w:vMerge w:val="restart"/>
          </w:tcPr>
          <w:p>
            <w:pPr>
              <w:jc w:val="right"/>
              <w:ind w:right="164"/>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4"/>
        </w:trPr>
        <w:tc>
          <w:tcPr>
            <w:tcW w:w="2480" w:type="dxa"/>
            <w:vAlign w:val="bottom"/>
            <w:vMerge w:val="continue"/>
          </w:tcPr>
          <w:p>
            <w:pPr>
              <w:spacing w:after="0"/>
              <w:rPr>
                <w:sz w:val="15"/>
                <w:szCs w:val="15"/>
                <w:color w:val="auto"/>
              </w:rPr>
            </w:pPr>
          </w:p>
        </w:tc>
        <w:tc>
          <w:tcPr>
            <w:tcW w:w="960" w:type="dxa"/>
            <w:vAlign w:val="bottom"/>
          </w:tcPr>
          <w:p>
            <w:pPr>
              <w:jc w:val="right"/>
              <w:ind w:right="261"/>
              <w:spacing w:after="0"/>
              <w:rPr>
                <w:sz w:val="20"/>
                <w:szCs w:val="20"/>
                <w:color w:val="auto"/>
              </w:rPr>
            </w:pPr>
            <w:r>
              <w:rPr>
                <w:rFonts w:ascii="Arial" w:cs="Arial" w:eastAsia="Arial" w:hAnsi="Arial"/>
                <w:sz w:val="13"/>
                <w:szCs w:val="13"/>
                <w:b w:val="1"/>
                <w:bCs w:val="1"/>
                <w:color w:val="auto"/>
              </w:rPr>
              <w:t>2023</w:t>
            </w:r>
          </w:p>
        </w:tc>
        <w:tc>
          <w:tcPr>
            <w:tcW w:w="1060" w:type="dxa"/>
            <w:vAlign w:val="bottom"/>
            <w:gridSpan w:val="2"/>
          </w:tcPr>
          <w:p>
            <w:pPr>
              <w:jc w:val="right"/>
              <w:ind w:right="23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80" w:type="dxa"/>
            <w:vAlign w:val="bottom"/>
          </w:tcPr>
          <w:p>
            <w:pPr>
              <w:jc w:val="right"/>
              <w:ind w:right="281"/>
              <w:spacing w:after="0"/>
              <w:rPr>
                <w:sz w:val="20"/>
                <w:szCs w:val="20"/>
                <w:color w:val="auto"/>
              </w:rPr>
            </w:pPr>
            <w:r>
              <w:rPr>
                <w:rFonts w:ascii="Arial" w:cs="Arial" w:eastAsia="Arial" w:hAnsi="Arial"/>
                <w:sz w:val="13"/>
                <w:szCs w:val="13"/>
                <w:b w:val="1"/>
                <w:bCs w:val="1"/>
                <w:color w:val="auto"/>
              </w:rPr>
              <w:t>2023</w:t>
            </w:r>
          </w:p>
        </w:tc>
        <w:tc>
          <w:tcPr>
            <w:tcW w:w="1080" w:type="dxa"/>
            <w:vAlign w:val="bottom"/>
            <w:gridSpan w:val="2"/>
          </w:tcPr>
          <w:p>
            <w:pPr>
              <w:jc w:val="right"/>
              <w:ind w:right="25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ind w:left="20"/>
              <w:spacing w:after="0" w:line="196" w:lineRule="exact"/>
              <w:rPr>
                <w:sz w:val="20"/>
                <w:szCs w:val="20"/>
                <w:color w:val="auto"/>
              </w:rPr>
            </w:pPr>
            <w:r>
              <w:rPr>
                <w:rFonts w:ascii="Arial" w:cs="Arial" w:eastAsia="Arial" w:hAnsi="Arial"/>
                <w:sz w:val="16"/>
                <w:szCs w:val="16"/>
                <w:color w:val="auto"/>
              </w:rPr>
              <w:t>Nuclear Generation</w:t>
            </w:r>
            <w:r>
              <w:rPr>
                <w:rFonts w:ascii="Arial" w:cs="Arial" w:eastAsia="Arial" w:hAnsi="Arial"/>
                <w:sz w:val="21"/>
                <w:szCs w:val="21"/>
                <w:color w:val="auto"/>
                <w:vertAlign w:val="superscript"/>
              </w:rPr>
              <w:t>(a)</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360"/>
              <w:spacing w:after="0"/>
              <w:rPr>
                <w:sz w:val="20"/>
                <w:szCs w:val="20"/>
                <w:color w:val="auto"/>
              </w:rPr>
            </w:pPr>
            <w:r>
              <w:rPr>
                <w:rFonts w:ascii="Arial" w:cs="Arial" w:eastAsia="Arial" w:hAnsi="Arial"/>
                <w:sz w:val="16"/>
                <w:szCs w:val="16"/>
                <w:color w:val="auto"/>
              </w:rPr>
              <w:t>Mid-Atlantic</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12,837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12,609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26,018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25,732</w:t>
            </w:r>
          </w:p>
        </w:tc>
        <w:tc>
          <w:tcPr>
            <w:tcW w:w="1080" w:type="dxa"/>
            <w:vAlign w:val="bottom"/>
            <w:gridSpan w:val="2"/>
          </w:tcPr>
          <w:p>
            <w:pPr>
              <w:jc w:val="right"/>
              <w:ind w:right="4"/>
              <w:spacing w:after="0"/>
              <w:rPr>
                <w:sz w:val="20"/>
                <w:szCs w:val="20"/>
                <w:color w:val="auto"/>
              </w:rPr>
            </w:pPr>
            <w:r>
              <w:rPr>
                <w:rFonts w:ascii="Arial" w:cs="Arial" w:eastAsia="Arial" w:hAnsi="Arial"/>
                <w:sz w:val="16"/>
                <w:szCs w:val="16"/>
                <w:color w:val="auto"/>
              </w:rPr>
              <w:t>286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Midwest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45,952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6"/>
        </w:trPr>
        <w:tc>
          <w:tcPr>
            <w:tcW w:w="2480" w:type="dxa"/>
            <w:vAlign w:val="bottom"/>
          </w:tcPr>
          <w:p>
            <w:pPr>
              <w:ind w:left="360"/>
              <w:spacing w:after="0"/>
              <w:rPr>
                <w:sz w:val="20"/>
                <w:szCs w:val="20"/>
                <w:color w:val="auto"/>
              </w:rPr>
            </w:pPr>
            <w:r>
              <w:rPr>
                <w:rFonts w:ascii="Arial" w:cs="Arial" w:eastAsia="Arial" w:hAnsi="Arial"/>
                <w:sz w:val="16"/>
                <w:szCs w:val="16"/>
                <w:color w:val="auto"/>
              </w:rPr>
              <w:t>New York</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6,092</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12,389</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12,584</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Nuclear Generation</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41,895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42,522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84,359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85,120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6"/>
        </w:trPr>
        <w:tc>
          <w:tcPr>
            <w:tcW w:w="2480" w:type="dxa"/>
            <w:vAlign w:val="bottom"/>
          </w:tcPr>
          <w:p>
            <w:pPr>
              <w:ind w:left="20"/>
              <w:spacing w:after="0"/>
              <w:rPr>
                <w:sz w:val="20"/>
                <w:szCs w:val="20"/>
                <w:color w:val="auto"/>
              </w:rPr>
            </w:pPr>
            <w:r>
              <w:rPr>
                <w:rFonts w:ascii="Arial" w:cs="Arial" w:eastAsia="Arial" w:hAnsi="Arial"/>
                <w:sz w:val="16"/>
                <w:szCs w:val="16"/>
                <w:color w:val="auto"/>
              </w:rPr>
              <w:t>Natural Gas, Oil, and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Arial" w:cs="Arial" w:eastAsia="Arial" w:hAnsi="Arial"/>
                <w:sz w:val="16"/>
                <w:szCs w:val="16"/>
                <w:color w:val="auto"/>
              </w:rPr>
              <w:t>Renewables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Mid-Atlantic</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3"/>
        </w:trPr>
        <w:tc>
          <w:tcPr>
            <w:tcW w:w="2480" w:type="dxa"/>
            <w:vAlign w:val="bottom"/>
          </w:tcPr>
          <w:p>
            <w:pPr>
              <w:ind w:left="360"/>
              <w:spacing w:after="0"/>
              <w:rPr>
                <w:sz w:val="20"/>
                <w:szCs w:val="20"/>
                <w:color w:val="auto"/>
              </w:rPr>
            </w:pPr>
            <w:r>
              <w:rPr>
                <w:rFonts w:ascii="Arial" w:cs="Arial" w:eastAsia="Arial" w:hAnsi="Arial"/>
                <w:sz w:val="16"/>
                <w:szCs w:val="16"/>
                <w:color w:val="auto"/>
              </w:rPr>
              <w:t>Midwest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221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649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46"/>
        </w:trPr>
        <w:tc>
          <w:tcPr>
            <w:tcW w:w="2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ERCOT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4,042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38.8 %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7,141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5,887</w:t>
            </w:r>
          </w:p>
        </w:tc>
        <w:tc>
          <w:tcPr>
            <w:tcW w:w="108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1,254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37"/>
        </w:trPr>
        <w:tc>
          <w:tcPr>
            <w:tcW w:w="2480" w:type="dxa"/>
            <w:vAlign w:val="bottom"/>
          </w:tcPr>
          <w:p>
            <w:pPr>
              <w:ind w:left="360"/>
              <w:spacing w:after="0"/>
              <w:rPr>
                <w:sz w:val="20"/>
                <w:szCs w:val="20"/>
                <w:color w:val="auto"/>
              </w:rPr>
            </w:pPr>
            <w:r>
              <w:rPr>
                <w:rFonts w:ascii="Arial" w:cs="Arial" w:eastAsia="Arial" w:hAnsi="Arial"/>
                <w:sz w:val="16"/>
                <w:szCs w:val="16"/>
                <w:color w:val="auto"/>
              </w:rPr>
              <w:t>Other Power Regions</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1,713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1,874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4,616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4,777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(161)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Natural Gas, Oil, and</w:t>
            </w: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Renewables</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12,656</w:t>
            </w:r>
          </w:p>
        </w:tc>
        <w:tc>
          <w:tcPr>
            <w:tcW w:w="10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767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24"/>
        </w:trPr>
        <w:tc>
          <w:tcPr>
            <w:tcW w:w="2480" w:type="dxa"/>
            <w:vAlign w:val="bottom"/>
          </w:tcPr>
          <w:p>
            <w:pPr>
              <w:ind w:left="20"/>
              <w:spacing w:after="0"/>
              <w:rPr>
                <w:sz w:val="20"/>
                <w:szCs w:val="20"/>
                <w:color w:val="auto"/>
              </w:rPr>
            </w:pPr>
            <w:r>
              <w:rPr>
                <w:rFonts w:ascii="Arial" w:cs="Arial" w:eastAsia="Arial" w:hAnsi="Arial"/>
                <w:sz w:val="16"/>
                <w:szCs w:val="16"/>
                <w:color w:val="auto"/>
              </w:rPr>
              <w:t>Purchased Power</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Mid-Atlantic</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10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1,792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31.7 %</w:t>
            </w:r>
          </w:p>
        </w:tc>
        <w:tc>
          <w:tcPr>
            <w:tcW w:w="0" w:type="dxa"/>
            <w:vAlign w:val="bottom"/>
          </w:tcPr>
          <w:p>
            <w:pPr>
              <w:spacing w:after="0"/>
              <w:rPr>
                <w:sz w:val="1"/>
                <w:szCs w:val="1"/>
                <w:color w:val="auto"/>
              </w:rPr>
            </w:pPr>
          </w:p>
        </w:tc>
      </w:tr>
      <w:tr>
        <w:trPr>
          <w:trHeight w:val="224"/>
        </w:trPr>
        <w:tc>
          <w:tcPr>
            <w:tcW w:w="2480" w:type="dxa"/>
            <w:vAlign w:val="bottom"/>
          </w:tcPr>
          <w:p>
            <w:pPr>
              <w:ind w:left="360"/>
              <w:spacing w:after="0"/>
              <w:rPr>
                <w:sz w:val="20"/>
                <w:szCs w:val="20"/>
                <w:color w:val="auto"/>
              </w:rPr>
            </w:pPr>
            <w:r>
              <w:rPr>
                <w:rFonts w:ascii="Arial" w:cs="Arial" w:eastAsia="Arial" w:hAnsi="Arial"/>
                <w:sz w:val="16"/>
                <w:szCs w:val="16"/>
                <w:color w:val="auto"/>
              </w:rPr>
              <w:t>Midwest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28.2 %</w:t>
            </w:r>
          </w:p>
        </w:tc>
        <w:tc>
          <w:tcPr>
            <w:tcW w:w="1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623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351</w:t>
            </w:r>
          </w:p>
        </w:tc>
        <w:tc>
          <w:tcPr>
            <w:tcW w:w="1080" w:type="dxa"/>
            <w:vAlign w:val="bottom"/>
            <w:gridSpan w:val="2"/>
          </w:tcPr>
          <w:p>
            <w:pPr>
              <w:jc w:val="right"/>
              <w:ind w:right="4"/>
              <w:spacing w:after="0"/>
              <w:rPr>
                <w:sz w:val="20"/>
                <w:szCs w:val="20"/>
                <w:color w:val="auto"/>
              </w:rPr>
            </w:pPr>
            <w:r>
              <w:rPr>
                <w:rFonts w:ascii="Arial" w:cs="Arial" w:eastAsia="Arial" w:hAnsi="Arial"/>
                <w:sz w:val="16"/>
                <w:szCs w:val="16"/>
                <w:color w:val="auto"/>
              </w:rPr>
              <w:t>272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77.5 %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ERCOT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37.2 %</w:t>
            </w:r>
          </w:p>
        </w:tc>
        <w:tc>
          <w:tcPr>
            <w:tcW w:w="0" w:type="dxa"/>
            <w:vAlign w:val="bottom"/>
          </w:tcPr>
          <w:p>
            <w:pPr>
              <w:spacing w:after="0"/>
              <w:rPr>
                <w:sz w:val="1"/>
                <w:szCs w:val="1"/>
                <w:color w:val="auto"/>
              </w:rPr>
            </w:pPr>
          </w:p>
        </w:tc>
      </w:tr>
      <w:tr>
        <w:trPr>
          <w:trHeight w:val="237"/>
        </w:trPr>
        <w:tc>
          <w:tcPr>
            <w:tcW w:w="2480" w:type="dxa"/>
            <w:vAlign w:val="bottom"/>
          </w:tcPr>
          <w:p>
            <w:pPr>
              <w:ind w:left="360"/>
              <w:spacing w:after="0"/>
              <w:rPr>
                <w:sz w:val="20"/>
                <w:szCs w:val="20"/>
                <w:color w:val="auto"/>
              </w:rPr>
            </w:pPr>
            <w:r>
              <w:rPr>
                <w:rFonts w:ascii="Arial" w:cs="Arial" w:eastAsia="Arial" w:hAnsi="Arial"/>
                <w:sz w:val="16"/>
                <w:szCs w:val="16"/>
                <w:color w:val="auto"/>
              </w:rPr>
              <w:t>Other Power Regions</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9,736</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12,436</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19,658</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26,096</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w:t>
            </w:r>
          </w:p>
        </w:tc>
        <w:tc>
          <w:tcPr>
            <w:tcW w:w="1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Purchased Power</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14,961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30,678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34,252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(3,574)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33"/>
        </w:trPr>
        <w:tc>
          <w:tcPr>
            <w:tcW w:w="2480" w:type="dxa"/>
            <w:vAlign w:val="bottom"/>
          </w:tcPr>
          <w:p>
            <w:pPr>
              <w:ind w:left="20"/>
              <w:spacing w:after="0"/>
              <w:rPr>
                <w:sz w:val="20"/>
                <w:szCs w:val="20"/>
                <w:color w:val="auto"/>
              </w:rPr>
            </w:pPr>
            <w:r>
              <w:rPr>
                <w:rFonts w:ascii="Arial" w:cs="Arial" w:eastAsia="Arial" w:hAnsi="Arial"/>
                <w:sz w:val="16"/>
                <w:szCs w:val="16"/>
                <w:color w:val="auto"/>
              </w:rPr>
              <w:t>Total Supply/Sales by Region</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Mid-Atlantic</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16,649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16,123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34,572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32,731</w:t>
            </w:r>
          </w:p>
        </w:tc>
        <w:tc>
          <w:tcPr>
            <w:tcW w:w="108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1,841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33"/>
        </w:trPr>
        <w:tc>
          <w:tcPr>
            <w:tcW w:w="2480" w:type="dxa"/>
            <w:vAlign w:val="bottom"/>
          </w:tcPr>
          <w:p>
            <w:pPr>
              <w:ind w:left="360"/>
              <w:spacing w:after="0"/>
              <w:rPr>
                <w:sz w:val="20"/>
                <w:szCs w:val="20"/>
                <w:color w:val="auto"/>
              </w:rPr>
            </w:pPr>
            <w:r>
              <w:rPr>
                <w:rFonts w:ascii="Arial" w:cs="Arial" w:eastAsia="Arial" w:hAnsi="Arial"/>
                <w:sz w:val="16"/>
                <w:szCs w:val="16"/>
                <w:color w:val="auto"/>
              </w:rPr>
              <w:t>Midwest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23,387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23,779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(392)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47,135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47,804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(669)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3"/>
        </w:trPr>
        <w:tc>
          <w:tcPr>
            <w:tcW w:w="2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York</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3"/>
        </w:trPr>
        <w:tc>
          <w:tcPr>
            <w:tcW w:w="2480" w:type="dxa"/>
            <w:vAlign w:val="bottom"/>
          </w:tcPr>
          <w:p>
            <w:pPr>
              <w:ind w:left="360"/>
              <w:spacing w:after="0"/>
              <w:rPr>
                <w:sz w:val="20"/>
                <w:szCs w:val="20"/>
                <w:color w:val="auto"/>
              </w:rPr>
            </w:pPr>
            <w:r>
              <w:rPr>
                <w:rFonts w:ascii="Arial" w:cs="Arial" w:eastAsia="Arial" w:hAnsi="Arial"/>
                <w:sz w:val="16"/>
                <w:szCs w:val="16"/>
                <w:color w:val="auto"/>
              </w:rPr>
              <w:t>ERCOT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5,639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4,326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30.4 %</w:t>
            </w:r>
          </w:p>
        </w:tc>
        <w:tc>
          <w:tcPr>
            <w:tcW w:w="1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10,090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8,036</w:t>
            </w:r>
          </w:p>
        </w:tc>
        <w:tc>
          <w:tcPr>
            <w:tcW w:w="1080" w:type="dxa"/>
            <w:vAlign w:val="bottom"/>
            <w:gridSpan w:val="2"/>
          </w:tcPr>
          <w:p>
            <w:pPr>
              <w:jc w:val="right"/>
              <w:ind w:right="4"/>
              <w:spacing w:after="0"/>
              <w:rPr>
                <w:sz w:val="20"/>
                <w:szCs w:val="20"/>
                <w:color w:val="auto"/>
              </w:rPr>
            </w:pPr>
            <w:r>
              <w:rPr>
                <w:rFonts w:ascii="Arial" w:cs="Arial" w:eastAsia="Arial" w:hAnsi="Arial"/>
                <w:sz w:val="16"/>
                <w:szCs w:val="16"/>
                <w:color w:val="auto"/>
              </w:rPr>
              <w:t>2,054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Power Regions</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11,449</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14,310</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24,274</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(6,599)</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23"/>
        </w:trPr>
        <w:tc>
          <w:tcPr>
            <w:tcW w:w="2480" w:type="dxa"/>
            <w:vAlign w:val="bottom"/>
          </w:tcPr>
          <w:p>
            <w:pPr>
              <w:ind w:left="20"/>
              <w:spacing w:after="0"/>
              <w:rPr>
                <w:sz w:val="20"/>
                <w:szCs w:val="20"/>
                <w:color w:val="auto"/>
              </w:rPr>
            </w:pPr>
            <w:r>
              <w:rPr>
                <w:rFonts w:ascii="Arial" w:cs="Arial" w:eastAsia="Arial" w:hAnsi="Arial"/>
                <w:sz w:val="16"/>
                <w:szCs w:val="16"/>
                <w:color w:val="auto"/>
              </w:rPr>
              <w:t>Total Supply/Sales by Region</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63,216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65,109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(1,893)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128,460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132,028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(3,568)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the proportionate share of output where we have an undivided ownership interest in jointly-owned generating plants and the total output for fully owned plants.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Nuclear Fleet Capacity Factor. </w:t>
      </w:r>
      <w:r>
        <w:rPr>
          <w:rFonts w:ascii="Arial" w:cs="Arial" w:eastAsia="Arial" w:hAnsi="Arial"/>
          <w:sz w:val="16"/>
          <w:szCs w:val="16"/>
          <w:color w:val="auto"/>
        </w:rPr>
        <w:t>The following table presents nuclear fleet operating data for our plants, which reflects ownership percentage of stations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operated by us, excluding Salem, which is operated by PSEG. The nuclear fleet capacity factor presented in the table is defined as the ratio of the actual output of a plant over a period of time to its output if the plant had operated at its net monthly mean capacity for that time period. We consider capacity factor to be a useful measure to analyze the nuclear fleet performance between periods. We have included the analysis below as a complement to the financial information provided in accordance with GAAP. However, these measures are not a presentation defined under GAAP and may not be comparable to other companies’ presentations of similarly titled measures or be more useful than the GAAP information provided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00" w:type="dxa"/>
            <w:vAlign w:val="bottom"/>
          </w:tcPr>
          <w:p>
            <w:pPr>
              <w:spacing w:after="0"/>
              <w:rPr>
                <w:sz w:val="13"/>
                <w:szCs w:val="13"/>
                <w:color w:val="auto"/>
              </w:rPr>
            </w:pPr>
          </w:p>
        </w:tc>
        <w:tc>
          <w:tcPr>
            <w:tcW w:w="2300" w:type="dxa"/>
            <w:vAlign w:val="bottom"/>
            <w:gridSpan w:val="4"/>
          </w:tcPr>
          <w:p>
            <w:pPr>
              <w:jc w:val="right"/>
              <w:ind w:right="464"/>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2300" w:type="dxa"/>
            <w:vAlign w:val="bottom"/>
            <w:gridSpan w:val="4"/>
          </w:tcPr>
          <w:p>
            <w:pPr>
              <w:jc w:val="right"/>
              <w:ind w:right="544"/>
              <w:spacing w:after="0"/>
              <w:rPr>
                <w:sz w:val="20"/>
                <w:szCs w:val="20"/>
                <w:color w:val="auto"/>
              </w:rPr>
            </w:pPr>
            <w:r>
              <w:rPr>
                <w:rFonts w:ascii="Arial" w:cs="Arial" w:eastAsia="Arial" w:hAnsi="Arial"/>
                <w:sz w:val="13"/>
                <w:szCs w:val="13"/>
                <w:b w:val="1"/>
                <w:bCs w:val="1"/>
                <w:color w:val="auto"/>
              </w:rPr>
              <w:t>Six Months Ended</w:t>
            </w:r>
          </w:p>
        </w:tc>
      </w:tr>
      <w:tr>
        <w:trPr>
          <w:trHeight w:val="176"/>
        </w:trPr>
        <w:tc>
          <w:tcPr>
            <w:tcW w:w="6500" w:type="dxa"/>
            <w:vAlign w:val="bottom"/>
          </w:tcPr>
          <w:p>
            <w:pPr>
              <w:spacing w:after="0"/>
              <w:rPr>
                <w:sz w:val="15"/>
                <w:szCs w:val="15"/>
                <w:color w:val="auto"/>
              </w:rPr>
            </w:pPr>
          </w:p>
        </w:tc>
        <w:tc>
          <w:tcPr>
            <w:tcW w:w="1520" w:type="dxa"/>
            <w:vAlign w:val="bottom"/>
            <w:gridSpan w:val="3"/>
          </w:tcPr>
          <w:p>
            <w:pPr>
              <w:ind w:left="920"/>
              <w:spacing w:after="0"/>
              <w:rPr>
                <w:sz w:val="20"/>
                <w:szCs w:val="20"/>
                <w:color w:val="auto"/>
              </w:rPr>
            </w:pPr>
            <w:r>
              <w:rPr>
                <w:rFonts w:ascii="Arial" w:cs="Arial" w:eastAsia="Arial" w:hAnsi="Arial"/>
                <w:sz w:val="13"/>
                <w:szCs w:val="13"/>
                <w:b w:val="1"/>
                <w:bCs w:val="1"/>
                <w:color w:val="auto"/>
              </w:rPr>
              <w:t>June 30,</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ind w:left="920"/>
              <w:spacing w:after="0"/>
              <w:rPr>
                <w:sz w:val="20"/>
                <w:szCs w:val="20"/>
                <w:color w:val="auto"/>
              </w:rPr>
            </w:pPr>
            <w:r>
              <w:rPr>
                <w:rFonts w:ascii="Arial" w:cs="Arial" w:eastAsia="Arial" w:hAnsi="Arial"/>
                <w:sz w:val="13"/>
                <w:szCs w:val="13"/>
                <w:b w:val="1"/>
                <w:bCs w:val="1"/>
                <w:color w:val="auto"/>
              </w:rPr>
              <w:t>June 30,</w:t>
            </w:r>
          </w:p>
        </w:tc>
        <w:tc>
          <w:tcPr>
            <w:tcW w:w="780" w:type="dxa"/>
            <w:vAlign w:val="bottom"/>
          </w:tcPr>
          <w:p>
            <w:pPr>
              <w:spacing w:after="0"/>
              <w:rPr>
                <w:sz w:val="15"/>
                <w:szCs w:val="15"/>
                <w:color w:val="auto"/>
              </w:rPr>
            </w:pPr>
          </w:p>
        </w:tc>
      </w:tr>
      <w:tr>
        <w:trPr>
          <w:trHeight w:val="22"/>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4"/>
        </w:trPr>
        <w:tc>
          <w:tcPr>
            <w:tcW w:w="6500" w:type="dxa"/>
            <w:vAlign w:val="bottom"/>
          </w:tcPr>
          <w:p>
            <w:pPr>
              <w:spacing w:after="0"/>
              <w:rPr>
                <w:sz w:val="15"/>
                <w:szCs w:val="15"/>
                <w:color w:val="auto"/>
              </w:rPr>
            </w:pPr>
          </w:p>
        </w:tc>
        <w:tc>
          <w:tcPr>
            <w:tcW w:w="1100" w:type="dxa"/>
            <w:vAlign w:val="bottom"/>
          </w:tcPr>
          <w:p>
            <w:pPr>
              <w:jc w:val="right"/>
              <w:ind w:right="34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4"/>
              <w:spacing w:after="0"/>
              <w:rPr>
                <w:sz w:val="20"/>
                <w:szCs w:val="20"/>
                <w:color w:val="auto"/>
              </w:rPr>
            </w:pPr>
            <w:r>
              <w:rPr>
                <w:rFonts w:ascii="Arial" w:cs="Arial" w:eastAsia="Arial" w:hAnsi="Arial"/>
                <w:sz w:val="13"/>
                <w:szCs w:val="13"/>
                <w:b w:val="1"/>
                <w:bCs w:val="1"/>
                <w:color w:val="auto"/>
              </w:rPr>
              <w:t>2022</w:t>
            </w:r>
          </w:p>
        </w:tc>
        <w:tc>
          <w:tcPr>
            <w:tcW w:w="1220" w:type="dxa"/>
            <w:vAlign w:val="bottom"/>
            <w:gridSpan w:val="2"/>
          </w:tcPr>
          <w:p>
            <w:pPr>
              <w:jc w:val="right"/>
              <w:ind w:right="337"/>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324"/>
              <w:spacing w:after="0"/>
              <w:rPr>
                <w:sz w:val="20"/>
                <w:szCs w:val="20"/>
                <w:color w:val="auto"/>
              </w:rPr>
            </w:pPr>
            <w:r>
              <w:rPr>
                <w:rFonts w:ascii="Arial" w:cs="Arial" w:eastAsia="Arial" w:hAnsi="Arial"/>
                <w:sz w:val="13"/>
                <w:szCs w:val="13"/>
                <w:b w:val="1"/>
                <w:bCs w:val="1"/>
                <w:color w:val="auto"/>
              </w:rPr>
              <w:t>2022</w:t>
            </w:r>
          </w:p>
        </w:tc>
      </w:tr>
      <w:tr>
        <w:trPr>
          <w:trHeight w:val="35"/>
        </w:trPr>
        <w:tc>
          <w:tcPr>
            <w:tcW w:w="65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Nuclear fleet capacity factor</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92.6 %</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93.6 %</w:t>
            </w:r>
          </w:p>
        </w:tc>
      </w:tr>
      <w:tr>
        <w:trPr>
          <w:trHeight w:val="233"/>
        </w:trPr>
        <w:tc>
          <w:tcPr>
            <w:tcW w:w="6500" w:type="dxa"/>
            <w:vAlign w:val="bottom"/>
          </w:tcPr>
          <w:p>
            <w:pPr>
              <w:ind w:left="20"/>
              <w:spacing w:after="0"/>
              <w:rPr>
                <w:sz w:val="20"/>
                <w:szCs w:val="20"/>
                <w:color w:val="auto"/>
              </w:rPr>
            </w:pPr>
            <w:r>
              <w:rPr>
                <w:rFonts w:ascii="Arial" w:cs="Arial" w:eastAsia="Arial" w:hAnsi="Arial"/>
                <w:sz w:val="16"/>
                <w:szCs w:val="16"/>
                <w:color w:val="auto"/>
              </w:rPr>
              <w:t>Refueling outage days</w:t>
            </w:r>
          </w:p>
        </w:tc>
        <w:tc>
          <w:tcPr>
            <w:tcW w:w="1100" w:type="dxa"/>
            <w:vAlign w:val="bottom"/>
          </w:tcPr>
          <w:p>
            <w:pPr>
              <w:jc w:val="right"/>
              <w:ind w:right="148"/>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ind w:right="124"/>
              <w:spacing w:after="0"/>
              <w:rPr>
                <w:sz w:val="20"/>
                <w:szCs w:val="20"/>
                <w:color w:val="auto"/>
              </w:rPr>
            </w:pPr>
            <w:r>
              <w:rPr>
                <w:rFonts w:ascii="Arial" w:cs="Arial" w:eastAsia="Arial" w:hAnsi="Arial"/>
                <w:sz w:val="16"/>
                <w:szCs w:val="16"/>
                <w:color w:val="auto"/>
              </w:rPr>
              <w:t>66</w:t>
            </w:r>
          </w:p>
        </w:tc>
        <w:tc>
          <w:tcPr>
            <w:tcW w:w="1220" w:type="dxa"/>
            <w:vAlign w:val="bottom"/>
            <w:gridSpan w:val="2"/>
          </w:tcPr>
          <w:p>
            <w:pPr>
              <w:jc w:val="right"/>
              <w:ind w:right="137"/>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24"/>
              <w:spacing w:after="0"/>
              <w:rPr>
                <w:sz w:val="20"/>
                <w:szCs w:val="20"/>
                <w:color w:val="auto"/>
              </w:rPr>
            </w:pPr>
            <w:r>
              <w:rPr>
                <w:rFonts w:ascii="Arial" w:cs="Arial" w:eastAsia="Arial" w:hAnsi="Arial"/>
                <w:sz w:val="16"/>
                <w:szCs w:val="16"/>
                <w:color w:val="auto"/>
              </w:rPr>
              <w:t>142</w:t>
            </w:r>
          </w:p>
        </w:tc>
      </w:tr>
      <w:tr>
        <w:trPr>
          <w:trHeight w:val="233"/>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Non-refueling outage days</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15</w:t>
            </w:r>
          </w:p>
        </w:tc>
        <w:tc>
          <w:tcPr>
            <w:tcW w:w="1220" w:type="dxa"/>
            <w:vAlign w:val="bottom"/>
            <w:gridSpan w:val="2"/>
            <w:shd w:val="clear" w:color="auto" w:fill="CCEEFF"/>
          </w:tcPr>
          <w:p>
            <w:pPr>
              <w:jc w:val="right"/>
              <w:ind w:right="137"/>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25</w:t>
            </w:r>
          </w:p>
        </w:tc>
      </w:tr>
      <w:tr>
        <w:trPr>
          <w:trHeight w:val="33"/>
        </w:trPr>
        <w:tc>
          <w:tcPr>
            <w:tcW w:w="6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 xml:space="preserve">ZEC Prices. </w:t>
      </w:r>
      <w:r>
        <w:rPr>
          <w:rFonts w:ascii="Arial" w:cs="Arial" w:eastAsia="Arial" w:hAnsi="Arial"/>
          <w:sz w:val="16"/>
          <w:szCs w:val="16"/>
          <w:color w:val="auto"/>
        </w:rPr>
        <w:t>We are compensated through state programs for the carbon-free attributes for certain of our nuclear generation. ZEC programs are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contributor to our total operating revenues. The following table includes the average ZEC reference prices ($/MWh) for each of our major regions in which state programs have been enacted. Prices reflect the weighted average price for the various delivery periods within the three and six months ended June 30, 2023 and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3"/>
                <w:szCs w:val="13"/>
                <w:b w:val="1"/>
                <w:bCs w:val="1"/>
                <w:color w:val="auto"/>
                <w:w w:val="96"/>
              </w:rPr>
              <w:t>Three Months Ended 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04"/>
              <w:spacing w:after="0"/>
              <w:rPr>
                <w:sz w:val="20"/>
                <w:szCs w:val="20"/>
                <w:color w:val="auto"/>
              </w:rPr>
            </w:pPr>
            <w:r>
              <w:rPr>
                <w:rFonts w:ascii="Arial" w:cs="Arial" w:eastAsia="Arial" w:hAnsi="Arial"/>
                <w:sz w:val="13"/>
                <w:szCs w:val="13"/>
                <w:b w:val="1"/>
                <w:bCs w:val="1"/>
                <w:color w:val="auto"/>
                <w:w w:val="98"/>
              </w:rPr>
              <w:t>Six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0"/>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State (Region)(a)</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w w:val="99"/>
              </w:rPr>
              <w:t>Variance</w:t>
            </w:r>
          </w:p>
        </w:tc>
        <w:tc>
          <w:tcPr>
            <w:tcW w:w="120" w:type="dxa"/>
            <w:vAlign w:val="bottom"/>
          </w:tcPr>
          <w:p>
            <w:pPr>
              <w:spacing w:after="0"/>
              <w:rPr>
                <w:sz w:val="17"/>
                <w:szCs w:val="17"/>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Variance</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 Change</w:t>
            </w: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Jersey (Mid-Atlantic)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 %  $</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2500" w:type="dxa"/>
            <w:vAlign w:val="bottom"/>
          </w:tcPr>
          <w:p>
            <w:pPr>
              <w:ind w:left="20"/>
              <w:spacing w:after="0"/>
              <w:rPr>
                <w:sz w:val="20"/>
                <w:szCs w:val="20"/>
                <w:color w:val="auto"/>
              </w:rPr>
            </w:pPr>
            <w:r>
              <w:rPr>
                <w:rFonts w:ascii="Arial" w:cs="Arial" w:eastAsia="Arial" w:hAnsi="Arial"/>
                <w:sz w:val="16"/>
                <w:szCs w:val="16"/>
                <w:color w:val="auto"/>
              </w:rPr>
              <w:t>Illinois (Midwest)</w:t>
            </w:r>
            <w:r>
              <w:rPr>
                <w:rFonts w:ascii="Arial" w:cs="Arial" w:eastAsia="Arial" w:hAnsi="Arial"/>
                <w:sz w:val="21"/>
                <w:szCs w:val="21"/>
                <w:color w:val="auto"/>
                <w:vertAlign w:val="superscript"/>
              </w:rPr>
              <w:t>(b)</w:t>
            </w:r>
          </w:p>
        </w:tc>
        <w:tc>
          <w:tcPr>
            <w:tcW w:w="100" w:type="dxa"/>
            <w:vAlign w:val="bottom"/>
          </w:tcPr>
          <w:p>
            <w:pPr>
              <w:spacing w:after="0"/>
              <w:rPr>
                <w:sz w:val="21"/>
                <w:szCs w:val="21"/>
                <w:color w:val="auto"/>
              </w:rPr>
            </w:pPr>
          </w:p>
        </w:tc>
        <w:tc>
          <w:tcPr>
            <w:tcW w:w="860" w:type="dxa"/>
            <w:vAlign w:val="bottom"/>
          </w:tcPr>
          <w:p>
            <w:pPr>
              <w:jc w:val="right"/>
              <w:ind w:right="6"/>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15.75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(36.1)%</w:t>
            </w:r>
          </w:p>
        </w:tc>
      </w:tr>
      <w:tr>
        <w:trPr>
          <w:trHeight w:val="224"/>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 (New York)</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18.27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19.83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2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Salem, Clinton, Quad Cities, FitzPatrick, Ginna, and NMP plants are receiving payments under their respective state programs.</w:t>
      </w:r>
    </w:p>
    <w:p>
      <w:pPr>
        <w:spacing w:after="0" w:line="16"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See Note 4 — Revenue from Contracts with Customers of the Combined Notes to Consolidated Financial Statements for additional information on the Illinois ZEC program.</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Illinois CMC Price. </w:t>
      </w:r>
      <w:r>
        <w:rPr>
          <w:rFonts w:ascii="Arial" w:cs="Arial" w:eastAsia="Arial" w:hAnsi="Arial"/>
          <w:sz w:val="16"/>
          <w:szCs w:val="16"/>
          <w:color w:val="auto"/>
        </w:rPr>
        <w:t>The price received (paid) for each CMC is determined by the IPA monthly and is based on the accepted CMC bid, less the sum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monthly weighted average PJM Busbar price, (b) ComEd zone capacity price and (c) any federal tax credit or subsidy received and is subject to a customer protection cap ($30.30 per MWh for initial delivery period June 1, 2022 through May 31, 2023 and $32.50 per MWh for the period June 1, 2023 through May 31, 2024). If the monthly CMC price per MWh calculation results in a net positive value, ComEd will multiply that value by the delivered quantity and pay the total to us. If the CMC price per MWh calculation results in a net negative value, we will multiply this value by the delivered quantity and pay the net value to ComEd. The average CMC prices per MWh were $7.00 and $4.25 for the three and six months ended June 30, 2023, respectively. For the month of June 2022 (the first month of the program), the CMC price per MWh was a net negative value $(52.30). See Note 3 - Regulatory Matters of our 2022 Form 10-K for additional information on the Illinois CMC program.</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Capacity Prices</w:t>
      </w:r>
      <w:r>
        <w:rPr>
          <w:rFonts w:ascii="Arial" w:cs="Arial" w:eastAsia="Arial" w:hAnsi="Arial"/>
          <w:sz w:val="16"/>
          <w:szCs w:val="16"/>
          <w:color w:val="auto"/>
        </w:rPr>
        <w:t>. We participate in capacity auctions in each of our major regions, except ERCOT which does not have a capacity market. We also incur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costs associated with load served, which are factored into customer sales prices. Capacity prices have a significant impact on our operating revenues and purchased power and fuel expense. We report capacity on a net monthly basis within each region in either Operating revenues or Purchased power and fuel, depending on our net monthly position. The following table presents the average capacity reference prices ($/MW Day) for each of our major regions. Prices reflect the weighted average prices for the various auction periods within the three and six months ended June 30, 2023 and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jc w:val="right"/>
              <w:ind w:right="43"/>
              <w:spacing w:after="0"/>
              <w:rPr>
                <w:sz w:val="20"/>
                <w:szCs w:val="20"/>
                <w:color w:val="auto"/>
              </w:rPr>
            </w:pPr>
            <w:r>
              <w:rPr>
                <w:rFonts w:ascii="Arial" w:cs="Arial" w:eastAsia="Arial" w:hAnsi="Arial"/>
                <w:sz w:val="13"/>
                <w:szCs w:val="13"/>
                <w:b w:val="1"/>
                <w:bCs w:val="1"/>
                <w:color w:val="auto"/>
                <w:w w:val="96"/>
              </w:rPr>
              <w:t>Three Months Ended June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4"/>
          </w:tcPr>
          <w:p>
            <w:pPr>
              <w:jc w:val="right"/>
              <w:ind w:right="123"/>
              <w:spacing w:after="0"/>
              <w:rPr>
                <w:sz w:val="20"/>
                <w:szCs w:val="20"/>
                <w:color w:val="auto"/>
              </w:rPr>
            </w:pPr>
            <w:r>
              <w:rPr>
                <w:rFonts w:ascii="Arial" w:cs="Arial" w:eastAsia="Arial" w:hAnsi="Arial"/>
                <w:sz w:val="13"/>
                <w:szCs w:val="13"/>
                <w:b w:val="1"/>
                <w:bCs w:val="1"/>
                <w:color w:val="auto"/>
                <w:w w:val="98"/>
              </w:rPr>
              <w:t>Six Months Ended 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
        </w:trPr>
        <w:tc>
          <w:tcPr>
            <w:tcW w:w="2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2"/>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Location (Region)</w:t>
            </w:r>
          </w:p>
        </w:tc>
        <w:tc>
          <w:tcPr>
            <w:tcW w:w="100" w:type="dxa"/>
            <w:vAlign w:val="bottom"/>
          </w:tcPr>
          <w:p>
            <w:pPr>
              <w:spacing w:after="0"/>
              <w:rPr>
                <w:sz w:val="16"/>
                <w:szCs w:val="16"/>
                <w:color w:val="auto"/>
              </w:rPr>
            </w:pPr>
          </w:p>
        </w:tc>
        <w:tc>
          <w:tcPr>
            <w:tcW w:w="840" w:type="dxa"/>
            <w:vAlign w:val="bottom"/>
          </w:tcPr>
          <w:p>
            <w:pPr>
              <w:jc w:val="right"/>
              <w:ind w:right="26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3"/>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6"/>
                <w:szCs w:val="16"/>
                <w:color w:val="auto"/>
              </w:rPr>
            </w:pPr>
          </w:p>
        </w:tc>
        <w:tc>
          <w:tcPr>
            <w:tcW w:w="800" w:type="dxa"/>
            <w:vAlign w:val="bottom"/>
          </w:tcPr>
          <w:p>
            <w:pPr>
              <w:jc w:val="right"/>
              <w:ind w:right="26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6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Arial" w:cs="Arial" w:eastAsia="Arial" w:hAnsi="Arial"/>
                <w:sz w:val="13"/>
                <w:szCs w:val="13"/>
                <w:b w:val="1"/>
                <w:bCs w:val="1"/>
                <w:color w:val="auto"/>
                <w:w w:val="99"/>
              </w:rPr>
              <w:t>Variance</w:t>
            </w:r>
          </w:p>
        </w:tc>
        <w:tc>
          <w:tcPr>
            <w:tcW w:w="100" w:type="dxa"/>
            <w:vAlign w:val="bottom"/>
          </w:tcPr>
          <w:p>
            <w:pPr>
              <w:spacing w:after="0"/>
              <w:rPr>
                <w:sz w:val="16"/>
                <w:szCs w:val="16"/>
                <w:color w:val="auto"/>
              </w:rPr>
            </w:pPr>
          </w:p>
        </w:tc>
        <w:tc>
          <w:tcPr>
            <w:tcW w:w="1100" w:type="dxa"/>
            <w:vAlign w:val="bottom"/>
          </w:tcPr>
          <w:p>
            <w:pPr>
              <w:jc w:val="right"/>
              <w:ind w:right="177"/>
              <w:spacing w:after="0"/>
              <w:rPr>
                <w:sz w:val="20"/>
                <w:szCs w:val="20"/>
                <w:color w:val="auto"/>
              </w:rPr>
            </w:pPr>
            <w:r>
              <w:rPr>
                <w:rFonts w:ascii="Arial" w:cs="Arial" w:eastAsia="Arial" w:hAnsi="Arial"/>
                <w:sz w:val="13"/>
                <w:szCs w:val="13"/>
                <w:b w:val="1"/>
                <w:bCs w:val="1"/>
                <w:color w:val="auto"/>
              </w:rPr>
              <w:t>% Change</w:t>
            </w: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Eastern Mid-Atlantic Area</w:t>
            </w: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Council (Mid-Atlantic)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center"/>
              <w:ind w:left="143"/>
              <w:spacing w:after="0"/>
              <w:rPr>
                <w:sz w:val="20"/>
                <w:szCs w:val="20"/>
                <w:color w:val="auto"/>
              </w:rPr>
            </w:pPr>
            <w:r>
              <w:rPr>
                <w:rFonts w:ascii="Arial" w:cs="Arial" w:eastAsia="Arial" w:hAnsi="Arial"/>
                <w:sz w:val="16"/>
                <w:szCs w:val="16"/>
                <w:color w:val="auto"/>
                <w:w w:val="98"/>
              </w:rPr>
              <w:t>(61.37)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89.80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24"/>
        </w:trPr>
        <w:tc>
          <w:tcPr>
            <w:tcW w:w="2460" w:type="dxa"/>
            <w:vAlign w:val="bottom"/>
          </w:tcPr>
          <w:p>
            <w:pPr>
              <w:ind w:left="20"/>
              <w:spacing w:after="0"/>
              <w:rPr>
                <w:sz w:val="20"/>
                <w:szCs w:val="20"/>
                <w:color w:val="auto"/>
              </w:rPr>
            </w:pPr>
            <w:r>
              <w:rPr>
                <w:rFonts w:ascii="Arial" w:cs="Arial" w:eastAsia="Arial" w:hAnsi="Arial"/>
                <w:sz w:val="16"/>
                <w:szCs w:val="16"/>
                <w:color w:val="auto"/>
              </w:rPr>
              <w:t>ComEd (Midwest)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153.35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143"/>
              <w:spacing w:after="0"/>
              <w:rPr>
                <w:sz w:val="20"/>
                <w:szCs w:val="20"/>
                <w:color w:val="auto"/>
              </w:rPr>
            </w:pPr>
            <w:r>
              <w:rPr>
                <w:rFonts w:ascii="Arial" w:cs="Arial" w:eastAsia="Arial" w:hAnsi="Arial"/>
                <w:sz w:val="16"/>
                <w:szCs w:val="16"/>
                <w:color w:val="auto"/>
                <w:w w:val="98"/>
              </w:rPr>
              <w:t>(96.00)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63.16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(111.29)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(63.8)%</w:t>
            </w:r>
          </w:p>
        </w:tc>
      </w:tr>
      <w:tr>
        <w:trPr>
          <w:trHeight w:val="33"/>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State (New York)</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163"/>
              <w:spacing w:after="0"/>
              <w:rPr>
                <w:sz w:val="20"/>
                <w:szCs w:val="20"/>
                <w:color w:val="auto"/>
              </w:rPr>
            </w:pPr>
            <w:r>
              <w:rPr>
                <w:rFonts w:ascii="Arial" w:cs="Arial" w:eastAsia="Arial" w:hAnsi="Arial"/>
                <w:sz w:val="16"/>
                <w:szCs w:val="16"/>
                <w:color w:val="auto"/>
                <w:w w:val="99"/>
              </w:rPr>
              <w:t>63.22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83.5 %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121.28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40.89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50.9 %</w:t>
            </w: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color w:val="auto"/>
              </w:rPr>
              <w:t>Southeast New England (Other)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143"/>
              <w:spacing w:after="0"/>
              <w:rPr>
                <w:sz w:val="20"/>
                <w:szCs w:val="20"/>
                <w:color w:val="auto"/>
              </w:rPr>
            </w:pPr>
            <w:r>
              <w:rPr>
                <w:rFonts w:ascii="Arial" w:cs="Arial" w:eastAsia="Arial" w:hAnsi="Arial"/>
                <w:sz w:val="16"/>
                <w:szCs w:val="16"/>
                <w:color w:val="auto"/>
                <w:w w:val="98"/>
              </w:rPr>
              <w:t>(38.46)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116.67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(33.08)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(22.1)%</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Electricity Prices. </w:t>
      </w:r>
      <w:r>
        <w:rPr>
          <w:rFonts w:ascii="Arial" w:cs="Arial" w:eastAsia="Arial" w:hAnsi="Arial"/>
          <w:sz w:val="16"/>
          <w:szCs w:val="16"/>
          <w:color w:val="auto"/>
        </w:rPr>
        <w:t>As a producer and supplier of electricity, the price of electricity has a significant impact on our operating revenues and purchased power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We report the sale and purchase of electricity in the spot market on a net hourly basis in either Operating revenues or Purchased power and fuel expense within each region, depending on our net hourly position. The price of electricity is impacted by several variables, including but not limited to, the price of fuels, generation resources in the region, weather, on-going competition, emerging technologies, as well as macroeconomic and regulatory factors. The following table presents an average day-ahead around-the-clock reference price ($/MWh) for the periods presented for each of our major regions and does not necessarily reflect prices we ultimately realized.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4"/>
          </w:tcPr>
          <w:p>
            <w:pPr>
              <w:jc w:val="right"/>
              <w:ind w:right="62"/>
              <w:spacing w:after="0"/>
              <w:rPr>
                <w:sz w:val="20"/>
                <w:szCs w:val="20"/>
                <w:color w:val="auto"/>
              </w:rPr>
            </w:pPr>
            <w:r>
              <w:rPr>
                <w:rFonts w:ascii="Arial" w:cs="Arial" w:eastAsia="Arial" w:hAnsi="Arial"/>
                <w:sz w:val="13"/>
                <w:szCs w:val="13"/>
                <w:b w:val="1"/>
                <w:bCs w:val="1"/>
                <w:color w:val="auto"/>
                <w:w w:val="95"/>
              </w:rPr>
              <w:t>Three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4"/>
          </w:tcPr>
          <w:p>
            <w:pPr>
              <w:jc w:val="right"/>
              <w:ind w:right="122"/>
              <w:spacing w:after="0"/>
              <w:rPr>
                <w:sz w:val="20"/>
                <w:szCs w:val="20"/>
                <w:color w:val="auto"/>
              </w:rPr>
            </w:pPr>
            <w:r>
              <w:rPr>
                <w:rFonts w:ascii="Arial" w:cs="Arial" w:eastAsia="Arial" w:hAnsi="Arial"/>
                <w:sz w:val="13"/>
                <w:szCs w:val="13"/>
                <w:b w:val="1"/>
                <w:bCs w:val="1"/>
                <w:color w:val="auto"/>
                <w:w w:val="97"/>
              </w:rPr>
              <w:t>Six Months Ended 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Location (Region)</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Variance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Variance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4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PJM West (Mid-Atlantic)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29.43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77.17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24"/>
        </w:trPr>
        <w:tc>
          <w:tcPr>
            <w:tcW w:w="2480" w:type="dxa"/>
            <w:vAlign w:val="bottom"/>
          </w:tcPr>
          <w:p>
            <w:pPr>
              <w:ind w:left="20"/>
              <w:spacing w:after="0"/>
              <w:rPr>
                <w:sz w:val="20"/>
                <w:szCs w:val="20"/>
                <w:color w:val="auto"/>
              </w:rPr>
            </w:pPr>
            <w:r>
              <w:rPr>
                <w:rFonts w:ascii="Arial" w:cs="Arial" w:eastAsia="Arial" w:hAnsi="Arial"/>
                <w:sz w:val="16"/>
                <w:szCs w:val="16"/>
                <w:color w:val="auto"/>
              </w:rPr>
              <w:t>ComEd (Midwest)</w:t>
            </w:r>
          </w:p>
        </w:tc>
        <w:tc>
          <w:tcPr>
            <w:tcW w:w="12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22.62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66.46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(43.84)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24.71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Central (New York)</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25.49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3"/>
        </w:trPr>
        <w:tc>
          <w:tcPr>
            <w:tcW w:w="2480" w:type="dxa"/>
            <w:vAlign w:val="bottom"/>
          </w:tcPr>
          <w:p>
            <w:pPr>
              <w:ind w:left="20"/>
              <w:spacing w:after="0"/>
              <w:rPr>
                <w:sz w:val="20"/>
                <w:szCs w:val="20"/>
                <w:color w:val="auto"/>
              </w:rPr>
            </w:pPr>
            <w:r>
              <w:rPr>
                <w:rFonts w:ascii="Arial" w:cs="Arial" w:eastAsia="Arial" w:hAnsi="Arial"/>
                <w:sz w:val="16"/>
                <w:szCs w:val="16"/>
                <w:color w:val="auto"/>
              </w:rPr>
              <w:t>North (ERCOT)</w:t>
            </w:r>
          </w:p>
        </w:tc>
        <w:tc>
          <w:tcPr>
            <w:tcW w:w="120" w:type="dxa"/>
            <w:vAlign w:val="bottom"/>
          </w:tcPr>
          <w:p>
            <w:pPr>
              <w:spacing w:after="0"/>
              <w:rPr>
                <w:sz w:val="20"/>
                <w:szCs w:val="20"/>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40.39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70.79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31.82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Southeast Massachusetts (Other)</w:t>
            </w: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29.17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69.15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40.51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31"/>
        </w:trPr>
        <w:tc>
          <w:tcPr>
            <w:tcW w:w="2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w:t>
            </w:r>
          </w:p>
        </w:tc>
        <w:tc>
          <w:tcPr>
            <w:tcW w:w="1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12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Reflects New England, which comprises the majority of the activity in the Other region.</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the three and six months ended June 30, 2023 compared to 2022, changes in </w:t>
      </w:r>
      <w:r>
        <w:rPr>
          <w:rFonts w:ascii="Arial" w:cs="Arial" w:eastAsia="Arial" w:hAnsi="Arial"/>
          <w:sz w:val="16"/>
          <w:szCs w:val="16"/>
          <w:b w:val="1"/>
          <w:bCs w:val="1"/>
          <w:color w:val="auto"/>
        </w:rPr>
        <w:t>Operating revenues</w:t>
      </w:r>
      <w:r>
        <w:rPr>
          <w:rFonts w:ascii="Arial" w:cs="Arial" w:eastAsia="Arial" w:hAnsi="Arial"/>
          <w:sz w:val="16"/>
          <w:szCs w:val="16"/>
          <w:color w:val="auto"/>
        </w:rPr>
        <w:t xml:space="preserve"> by region were approximately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220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3"/>
        </w:trPr>
        <w:tc>
          <w:tcPr>
            <w:tcW w:w="1740" w:type="dxa"/>
            <w:vAlign w:val="bottom"/>
          </w:tcPr>
          <w:p>
            <w:pPr>
              <w:spacing w:after="0"/>
              <w:rPr>
                <w:sz w:val="17"/>
                <w:szCs w:val="17"/>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w w:val="92"/>
              </w:rPr>
              <w:t>Variance</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250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120" w:type="dxa"/>
            <w:vAlign w:val="bottom"/>
          </w:tcPr>
          <w:p>
            <w:pPr>
              <w:spacing w:after="0"/>
              <w:rPr>
                <w:sz w:val="17"/>
                <w:szCs w:val="17"/>
                <w:color w:val="auto"/>
              </w:rPr>
            </w:pPr>
          </w:p>
        </w:tc>
        <w:tc>
          <w:tcPr>
            <w:tcW w:w="23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Description</w:t>
            </w:r>
          </w:p>
        </w:tc>
      </w:tr>
      <w:tr>
        <w:trPr>
          <w:trHeight w:val="191"/>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unfavorable settled economic</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wholesale load revenue</w:t>
            </w:r>
          </w:p>
        </w:tc>
      </w:tr>
      <w:tr>
        <w:trPr>
          <w:trHeight w:val="175"/>
        </w:trPr>
        <w:tc>
          <w:tcPr>
            <w:tcW w:w="1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hedges of ($75) due to settled</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$290 primarily due to higher</w:t>
            </w:r>
          </w:p>
        </w:tc>
      </w:tr>
      <w:tr>
        <w:trPr>
          <w:trHeight w:val="176"/>
        </w:trPr>
        <w:tc>
          <w:tcPr>
            <w:tcW w:w="1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prices relative to hedged prices;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contracted energy prices and higher</w:t>
            </w:r>
          </w:p>
        </w:tc>
      </w:tr>
      <w:tr>
        <w:trPr>
          <w:trHeight w:val="175"/>
        </w:trPr>
        <w:tc>
          <w:tcPr>
            <w:tcW w:w="1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partially offset by</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volumes; partially offset by</w:t>
            </w:r>
          </w:p>
        </w:tc>
      </w:tr>
      <w:tr>
        <w:trPr>
          <w:trHeight w:val="162"/>
        </w:trPr>
        <w:tc>
          <w:tcPr>
            <w:tcW w:w="17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favorable wholesale load revenue</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settled economic</w:t>
            </w:r>
          </w:p>
        </w:tc>
      </w:tr>
      <w:tr>
        <w:trPr>
          <w:trHeight w:val="175"/>
        </w:trPr>
        <w:tc>
          <w:tcPr>
            <w:tcW w:w="1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of $65 primarily due to higher</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 of ($180) due to settled</w:t>
            </w:r>
          </w:p>
        </w:tc>
      </w:tr>
      <w:tr>
        <w:trPr>
          <w:trHeight w:val="175"/>
        </w:trPr>
        <w:tc>
          <w:tcPr>
            <w:tcW w:w="1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contracted energy prices and higher</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prices relative to hedged prices</w:t>
            </w:r>
          </w:p>
        </w:tc>
      </w:tr>
      <w:tr>
        <w:trPr>
          <w:trHeight w:val="182"/>
        </w:trPr>
        <w:tc>
          <w:tcPr>
            <w:tcW w:w="1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volumes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r>
      <w:tr>
        <w:trPr>
          <w:trHeight w:val="25"/>
        </w:trPr>
        <w:tc>
          <w:tcPr>
            <w:tcW w:w="17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220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Three Months Ended June 30</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3"/>
        </w:trPr>
        <w:tc>
          <w:tcPr>
            <w:tcW w:w="1740" w:type="dxa"/>
            <w:vAlign w:val="bottom"/>
          </w:tcPr>
          <w:p>
            <w:pPr>
              <w:spacing w:after="0"/>
              <w:rPr>
                <w:sz w:val="17"/>
                <w:szCs w:val="17"/>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250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120" w:type="dxa"/>
            <w:vAlign w:val="bottom"/>
          </w:tcPr>
          <w:p>
            <w:pPr>
              <w:spacing w:after="0"/>
              <w:rPr>
                <w:sz w:val="17"/>
                <w:szCs w:val="17"/>
                <w:color w:val="auto"/>
              </w:rPr>
            </w:pPr>
          </w:p>
        </w:tc>
        <w:tc>
          <w:tcPr>
            <w:tcW w:w="23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Description</w:t>
            </w:r>
          </w:p>
        </w:tc>
      </w:tr>
      <w:tr>
        <w:trPr>
          <w:trHeight w:val="191"/>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Midwest</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favorable ZEC revenue of $200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ZEC revenue of $200</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primarily due to revenue recognized</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due to revenue recognized</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 Illinois ZECs delivered in prior</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 Illinois ZECs delivered in prior</w:t>
            </w:r>
          </w:p>
        </w:tc>
      </w:tr>
      <w:tr>
        <w:trPr>
          <w:trHeight w:val="162"/>
        </w:trPr>
        <w:tc>
          <w:tcPr>
            <w:tcW w:w="1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planning years partially offset by a</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planning years partially offset by a</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decrease in the ZEC price in current</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the ZEC price in current</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planning year</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planning year</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favorable settled economic hedges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retail load revenue of</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of $175 due to settled prices relative</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$55 primarily due to higher</w:t>
            </w:r>
          </w:p>
        </w:tc>
      </w:tr>
      <w:tr>
        <w:trPr>
          <w:trHeight w:val="162"/>
        </w:trPr>
        <w:tc>
          <w:tcPr>
            <w:tcW w:w="1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 hedged prices; partially offset by</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contracted energy prices and higher</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unfavorable net generation</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load volumes</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revenue and wholesale load of</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settled economic hedges</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($150) primarily due to lower</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$35 due to settled prices relative</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nuclear generation and lower load</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hedged prices; partially offset by</w:t>
            </w:r>
          </w:p>
        </w:tc>
      </w:tr>
      <w:tr>
        <w:trPr>
          <w:trHeight w:val="162"/>
        </w:trPr>
        <w:tc>
          <w:tcPr>
            <w:tcW w:w="1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volumes, partially offset by CMC</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net generation and</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program activity</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wholesale load revenue of ($260)</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due to lower nuclear</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generation and lower load volumes,</w:t>
            </w:r>
          </w:p>
        </w:tc>
      </w:tr>
      <w:tr>
        <w:trPr>
          <w:trHeight w:val="176"/>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partially offset by CMC program</w:t>
            </w:r>
          </w:p>
        </w:tc>
      </w:tr>
      <w:tr>
        <w:trPr>
          <w:trHeight w:val="194"/>
        </w:trPr>
        <w:tc>
          <w:tcPr>
            <w:tcW w:w="17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activity</w:t>
            </w:r>
          </w:p>
        </w:tc>
      </w:tr>
      <w:tr>
        <w:trPr>
          <w:trHeight w:val="197"/>
        </w:trPr>
        <w:tc>
          <w:tcPr>
            <w:tcW w:w="1740" w:type="dxa"/>
            <w:vAlign w:val="bottom"/>
          </w:tcPr>
          <w:p>
            <w:pPr>
              <w:ind w:left="20"/>
              <w:spacing w:after="0"/>
              <w:rPr>
                <w:sz w:val="20"/>
                <w:szCs w:val="20"/>
                <w:color w:val="auto"/>
              </w:rPr>
            </w:pPr>
            <w:r>
              <w:rPr>
                <w:rFonts w:ascii="Arial" w:cs="Arial" w:eastAsia="Arial" w:hAnsi="Arial"/>
                <w:sz w:val="16"/>
                <w:szCs w:val="16"/>
                <w:color w:val="auto"/>
              </w:rPr>
              <w:t>New York</w:t>
            </w:r>
          </w:p>
        </w:tc>
        <w:tc>
          <w:tcPr>
            <w:tcW w:w="980" w:type="dxa"/>
            <w:vAlign w:val="bottom"/>
          </w:tcPr>
          <w:p>
            <w:pPr>
              <w:jc w:val="right"/>
              <w:ind w:right="6"/>
              <w:spacing w:after="0"/>
              <w:rPr>
                <w:sz w:val="20"/>
                <w:szCs w:val="20"/>
                <w:color w:val="auto"/>
              </w:rPr>
            </w:pPr>
            <w:r>
              <w:rPr>
                <w:rFonts w:ascii="Arial" w:cs="Arial" w:eastAsia="Arial" w:hAnsi="Arial"/>
                <w:sz w:val="16"/>
                <w:szCs w:val="16"/>
                <w:color w:val="auto"/>
              </w:rPr>
              <w:t>81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20.8 %</w:t>
            </w: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 favorable settled economic hedges</w:t>
            </w: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33.1 %</w:t>
            </w:r>
          </w:p>
        </w:tc>
        <w:tc>
          <w:tcPr>
            <w:tcW w:w="12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favorable settled economic hedges</w:t>
            </w:r>
          </w:p>
        </w:tc>
      </w:tr>
      <w:tr>
        <w:trPr>
          <w:trHeight w:val="176"/>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of $95 due to settled prices relative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of $260 due to settled prices relative</w:t>
            </w:r>
          </w:p>
        </w:tc>
      </w:tr>
      <w:tr>
        <w:trPr>
          <w:trHeight w:val="176"/>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to hedged prices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to hedged prices</w:t>
            </w:r>
          </w:p>
        </w:tc>
      </w:tr>
      <w:tr>
        <w:trPr>
          <w:trHeight w:val="175"/>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 favorable retail load revenue of</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favorable retail load revenue of</w:t>
            </w:r>
          </w:p>
        </w:tc>
      </w:tr>
      <w:tr>
        <w:trPr>
          <w:trHeight w:val="162"/>
        </w:trPr>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$35 primarily due to higher</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$45 primarily due to higher</w:t>
            </w:r>
          </w:p>
        </w:tc>
      </w:tr>
      <w:tr>
        <w:trPr>
          <w:trHeight w:val="175"/>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contracted energy prices; partially</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contracted energy prices; partially</w:t>
            </w:r>
          </w:p>
        </w:tc>
      </w:tr>
      <w:tr>
        <w:trPr>
          <w:trHeight w:val="175"/>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offset by</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offset by</w:t>
            </w:r>
          </w:p>
        </w:tc>
      </w:tr>
      <w:tr>
        <w:trPr>
          <w:trHeight w:val="176"/>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 unfavorable generation revenue of</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unfavorable generation revenue of</w:t>
            </w:r>
          </w:p>
        </w:tc>
      </w:tr>
      <w:tr>
        <w:trPr>
          <w:trHeight w:val="162"/>
        </w:trPr>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($30) primarily due to lower energy</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($70) primarily due to lower energy</w:t>
            </w:r>
          </w:p>
        </w:tc>
      </w:tr>
      <w:tr>
        <w:trPr>
          <w:trHeight w:val="176"/>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prices and lower nuclear generation</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prices</w:t>
            </w:r>
          </w:p>
        </w:tc>
      </w:tr>
      <w:tr>
        <w:trPr>
          <w:trHeight w:val="175"/>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 unfavorable ZEC revenue of ($30)</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75"/>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primarily due to lower ZEC price and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82"/>
        </w:trPr>
        <w:tc>
          <w:tcPr>
            <w:tcW w:w="1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lower nuclear generation</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
        </w:trPr>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84"/>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ERCOT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unfavorable settled economic</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settled economic</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hedges of ($225) due to settled</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 of ($330) due to settled</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prices relative to hedged prices;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prices relative to hedged prices;</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partially offset by</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partially offset by</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favorable wholesale load revenue</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favorable wholesale load revenue</w:t>
            </w:r>
          </w:p>
        </w:tc>
      </w:tr>
      <w:tr>
        <w:trPr>
          <w:trHeight w:val="162"/>
        </w:trPr>
        <w:tc>
          <w:tcPr>
            <w:tcW w:w="17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of $80 primarily due to higher</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$110 primarily due to higher</w:t>
            </w:r>
          </w:p>
        </w:tc>
      </w:tr>
      <w:tr>
        <w:trPr>
          <w:trHeight w:val="175"/>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volumes and higher contracted</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volumes and higher contracted</w:t>
            </w:r>
          </w:p>
        </w:tc>
      </w:tr>
      <w:tr>
        <w:trPr>
          <w:trHeight w:val="182"/>
        </w:trPr>
        <w:tc>
          <w:tcPr>
            <w:tcW w:w="1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energy prices</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 prices</w:t>
            </w:r>
          </w:p>
        </w:tc>
      </w:tr>
      <w:tr>
        <w:trPr>
          <w:trHeight w:val="201"/>
        </w:trPr>
        <w:tc>
          <w:tcPr>
            <w:tcW w:w="1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03"/>
        </w:trPr>
        <w:tc>
          <w:tcPr>
            <w:tcW w:w="1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250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120" w:type="dxa"/>
            <w:vAlign w:val="bottom"/>
          </w:tcPr>
          <w:p>
            <w:pPr>
              <w:spacing w:after="0"/>
              <w:rPr>
                <w:sz w:val="17"/>
                <w:szCs w:val="17"/>
                <w:color w:val="auto"/>
              </w:rPr>
            </w:pPr>
          </w:p>
        </w:tc>
        <w:tc>
          <w:tcPr>
            <w:tcW w:w="238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Description</w:t>
            </w:r>
          </w:p>
        </w:tc>
      </w:tr>
      <w:tr>
        <w:trPr>
          <w:trHeight w:val="191"/>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unfavorable settled economic</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settled economic</w:t>
            </w:r>
          </w:p>
        </w:tc>
      </w:tr>
      <w:tr>
        <w:trPr>
          <w:trHeight w:val="176"/>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hedges of ($180) due to settled</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 of ($460) due to settled</w:t>
            </w:r>
          </w:p>
        </w:tc>
      </w:tr>
      <w:tr>
        <w:trPr>
          <w:trHeight w:val="175"/>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prices relative to hedged prices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prices relative to hedged prices</w:t>
            </w:r>
          </w:p>
        </w:tc>
      </w:tr>
      <w:tr>
        <w:trPr>
          <w:trHeight w:val="162"/>
        </w:trPr>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unfavorable wholesale load</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unfavorable wholesale load</w:t>
            </w:r>
          </w:p>
        </w:tc>
      </w:tr>
      <w:tr>
        <w:trPr>
          <w:trHeight w:val="175"/>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revenue of ($85) primarily due to</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of ($45) primarily due to</w:t>
            </w:r>
          </w:p>
        </w:tc>
      </w:tr>
      <w:tr>
        <w:trPr>
          <w:trHeight w:val="176"/>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lower volumes; partially offset by</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lower volumes; partially offset by</w:t>
            </w:r>
          </w:p>
        </w:tc>
      </w:tr>
      <w:tr>
        <w:trPr>
          <w:trHeight w:val="175"/>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favorable retail load revenue of</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 favorable retail load revenue of</w:t>
            </w:r>
          </w:p>
        </w:tc>
      </w:tr>
      <w:tr>
        <w:trPr>
          <w:trHeight w:val="176"/>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$45 primarily due to higher</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$140 primarily due to higher</w:t>
            </w:r>
          </w:p>
        </w:tc>
      </w:tr>
      <w:tr>
        <w:trPr>
          <w:trHeight w:val="182"/>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contracted energy prices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contracted energy prices</w:t>
            </w:r>
          </w:p>
        </w:tc>
      </w:tr>
      <w:tr>
        <w:trPr>
          <w:trHeight w:val="188"/>
        </w:trPr>
        <w:tc>
          <w:tcPr>
            <w:tcW w:w="1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r>
      <w:tr>
        <w:trPr>
          <w:trHeight w:val="197"/>
        </w:trPr>
        <w:tc>
          <w:tcPr>
            <w:tcW w:w="174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(36.7)%</w:t>
            </w: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 unfavorable gas revenue, including</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unfavorable gas revenue, including</w:t>
            </w:r>
          </w:p>
        </w:tc>
      </w:tr>
      <w:tr>
        <w:trPr>
          <w:trHeight w:val="176"/>
        </w:trPr>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settled economic hedges, of ($375)</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settled economic hedges, of ($320)</w:t>
            </w:r>
          </w:p>
        </w:tc>
      </w:tr>
      <w:tr>
        <w:trPr>
          <w:trHeight w:val="176"/>
        </w:trPr>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primarily due to lower gas prices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primarily due to lower gas prices;</w:t>
            </w:r>
          </w:p>
        </w:tc>
      </w:tr>
      <w:tr>
        <w:trPr>
          <w:trHeight w:val="162"/>
        </w:trPr>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 unfavorable energy revenue of</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partially offset by</w:t>
            </w:r>
          </w:p>
        </w:tc>
      </w:tr>
      <w:tr>
        <w:trPr>
          <w:trHeight w:val="176"/>
        </w:trPr>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($95) primarily due to lower energy</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favorable energy revenue of $30</w:t>
            </w:r>
          </w:p>
        </w:tc>
      </w:tr>
      <w:tr>
        <w:trPr>
          <w:trHeight w:val="182"/>
        </w:trPr>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prices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primarily due to higher energy prices</w:t>
            </w:r>
          </w:p>
        </w:tc>
      </w:tr>
      <w:tr>
        <w:trPr>
          <w:trHeight w:val="26"/>
        </w:trPr>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97"/>
        </w:trPr>
        <w:tc>
          <w:tcPr>
            <w:tcW w:w="1740" w:type="dxa"/>
            <w:vAlign w:val="bottom"/>
            <w:shd w:val="clear" w:color="auto" w:fill="CCEEFF"/>
          </w:tcPr>
          <w:p>
            <w:pPr>
              <w:ind w:left="20"/>
              <w:spacing w:after="0" w:line="198" w:lineRule="exact"/>
              <w:rPr>
                <w:sz w:val="20"/>
                <w:szCs w:val="20"/>
                <w:color w:val="auto"/>
              </w:rPr>
            </w:pPr>
            <w:r>
              <w:rPr>
                <w:rFonts w:ascii="Arial" w:cs="Arial" w:eastAsia="Arial" w:hAnsi="Arial"/>
                <w:sz w:val="16"/>
                <w:szCs w:val="16"/>
                <w:color w:val="auto"/>
              </w:rPr>
              <w:t>Mark-to-market</w:t>
            </w:r>
            <w:r>
              <w:rPr>
                <w:rFonts w:ascii="Arial" w:cs="Arial" w:eastAsia="Arial" w:hAnsi="Arial"/>
                <w:sz w:val="21"/>
                <w:szCs w:val="21"/>
                <w:color w:val="auto"/>
                <w:vertAlign w:val="superscript"/>
              </w:rPr>
              <w:t>(b)</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 gains on economic hedging</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gains on economic hedging</w:t>
            </w:r>
          </w:p>
        </w:tc>
      </w:tr>
      <w:tr>
        <w:trPr>
          <w:trHeight w:val="175"/>
        </w:trPr>
        <w:tc>
          <w:tcPr>
            <w:tcW w:w="1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activities of $211 in 2023 compared</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activities of $1,140 in 2023</w:t>
            </w:r>
          </w:p>
        </w:tc>
      </w:tr>
      <w:tr>
        <w:trPr>
          <w:trHeight w:val="162"/>
        </w:trPr>
        <w:tc>
          <w:tcPr>
            <w:tcW w:w="1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 losses of ($299) in 2022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compared to losses of ($1,219) in</w:t>
            </w:r>
          </w:p>
        </w:tc>
      </w:tr>
      <w:tr>
        <w:trPr>
          <w:trHeight w:val="208"/>
        </w:trPr>
        <w:tc>
          <w:tcPr>
            <w:tcW w:w="1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2022</w:t>
            </w:r>
          </w:p>
        </w:tc>
      </w:tr>
      <w:tr>
        <w:trPr>
          <w:trHeight w:val="237"/>
        </w:trPr>
        <w:tc>
          <w:tcPr>
            <w:tcW w:w="174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17.7 %</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0"/>
        </w:trPr>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Change in mark-to-market is not a meaningful measure.</w:t>
      </w:r>
    </w:p>
    <w:p>
      <w:pPr>
        <w:spacing w:after="0" w:line="5" w:lineRule="exact"/>
        <w:rPr>
          <w:rFonts w:ascii="Arial" w:cs="Arial" w:eastAsia="Arial" w:hAnsi="Arial"/>
          <w:sz w:val="14"/>
          <w:szCs w:val="14"/>
          <w:color w:val="auto"/>
        </w:rPr>
      </w:pPr>
    </w:p>
    <w:p>
      <w:pPr>
        <w:ind w:left="340" w:hanging="332"/>
        <w:spacing w:after="0" w:line="259"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Note 10 — Derivative Financial Instruments of the Combined Notes to Consolidated Financial Statements for additional information on mark-to-market gains and losses.</w:t>
      </w:r>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Purchased power and fuel. </w:t>
      </w:r>
      <w:r>
        <w:rPr>
          <w:rFonts w:ascii="Arial" w:cs="Arial" w:eastAsia="Arial" w:hAnsi="Arial"/>
          <w:sz w:val="16"/>
          <w:szCs w:val="16"/>
          <w:color w:val="auto"/>
        </w:rPr>
        <w:t>See Operating revenues above for discussion of our reportable segments and hedging strategies and for supplemental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statistical data, including supply sources by region, nuclear fleet capacity factor, capacity prices, and electricity prices.</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following business activities are not allocated to a region and are reported under Other: wholesale and retail sales of natural gas, as well as other miscellaneous business activities that are not significant to overall purchased power and fuel expense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2023 compared to 2022, Purchased power and fuel expense by region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3"/>
                <w:szCs w:val="13"/>
                <w:b w:val="1"/>
                <w:bCs w:val="1"/>
                <w:color w:val="auto"/>
                <w:w w:val="96"/>
              </w:rPr>
              <w:t>Three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3"/>
                <w:szCs w:val="13"/>
                <w:b w:val="1"/>
                <w:bCs w:val="1"/>
                <w:color w:val="auto"/>
                <w:w w:val="98"/>
              </w:rPr>
              <w:t>Six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Variance</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182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1,030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1,252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33"/>
        </w:trPr>
        <w:tc>
          <w:tcPr>
            <w:tcW w:w="2460" w:type="dxa"/>
            <w:vAlign w:val="bottom"/>
          </w:tcPr>
          <w:p>
            <w:pPr>
              <w:ind w:left="20"/>
              <w:spacing w:after="0"/>
              <w:rPr>
                <w:sz w:val="20"/>
                <w:szCs w:val="20"/>
                <w:color w:val="auto"/>
              </w:rPr>
            </w:pPr>
            <w:r>
              <w:rPr>
                <w:rFonts w:ascii="Arial" w:cs="Arial" w:eastAsia="Arial" w:hAnsi="Arial"/>
                <w:sz w:val="16"/>
                <w:szCs w:val="16"/>
                <w:color w:val="auto"/>
              </w:rPr>
              <w:t>Midwest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163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18.9 %</w:t>
            </w:r>
          </w:p>
        </w:tc>
        <w:tc>
          <w:tcPr>
            <w:tcW w:w="0" w:type="dxa"/>
            <w:vAlign w:val="bottom"/>
          </w:tcPr>
          <w:p>
            <w:pPr>
              <w:spacing w:after="0"/>
              <w:rPr>
                <w:sz w:val="1"/>
                <w:szCs w:val="1"/>
                <w:color w:val="auto"/>
              </w:rPr>
            </w:pPr>
          </w:p>
        </w:tc>
      </w:tr>
      <w:tr>
        <w:trPr>
          <w:trHeight w:val="24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33"/>
        </w:trPr>
        <w:tc>
          <w:tcPr>
            <w:tcW w:w="2460" w:type="dxa"/>
            <w:vAlign w:val="bottom"/>
          </w:tcPr>
          <w:p>
            <w:pPr>
              <w:ind w:left="20"/>
              <w:spacing w:after="0"/>
              <w:rPr>
                <w:sz w:val="20"/>
                <w:szCs w:val="20"/>
                <w:color w:val="auto"/>
              </w:rPr>
            </w:pPr>
            <w:r>
              <w:rPr>
                <w:rFonts w:ascii="Arial" w:cs="Arial" w:eastAsia="Arial" w:hAnsi="Arial"/>
                <w:sz w:val="16"/>
                <w:szCs w:val="16"/>
                <w:color w:val="auto"/>
              </w:rPr>
              <w:t>ERCOT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232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58.6 %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271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49.2 %</w:t>
            </w:r>
          </w:p>
        </w:tc>
        <w:tc>
          <w:tcPr>
            <w:tcW w:w="0" w:type="dxa"/>
            <w:vAlign w:val="bottom"/>
          </w:tcPr>
          <w:p>
            <w:pPr>
              <w:spacing w:after="0"/>
              <w:rPr>
                <w:sz w:val="1"/>
                <w:szCs w:val="1"/>
                <w:color w:val="auto"/>
              </w:rPr>
            </w:pPr>
          </w:p>
        </w:tc>
      </w:tr>
      <w:tr>
        <w:trPr>
          <w:trHeight w:val="24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Power Regions</w:t>
            </w: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165"/>
        </w:trPr>
        <w:tc>
          <w:tcPr>
            <w:tcW w:w="2460" w:type="dxa"/>
            <w:vAlign w:val="bottom"/>
          </w:tcPr>
          <w:p>
            <w:pPr>
              <w:ind w:left="20"/>
              <w:spacing w:after="0" w:line="165" w:lineRule="exact"/>
              <w:rPr>
                <w:sz w:val="20"/>
                <w:szCs w:val="20"/>
                <w:color w:val="auto"/>
              </w:rPr>
            </w:pPr>
            <w:r>
              <w:rPr>
                <w:rFonts w:ascii="Arial" w:cs="Arial" w:eastAsia="Arial" w:hAnsi="Arial"/>
                <w:sz w:val="16"/>
                <w:szCs w:val="16"/>
                <w:color w:val="auto"/>
              </w:rPr>
              <w:t>Total electric purchased power</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2,036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2,757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721</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26.2 %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4,868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5,658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790</w:t>
            </w: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6"/>
                <w:szCs w:val="16"/>
                <w:color w:val="auto"/>
              </w:rPr>
              <w:t>and fuel</w:t>
            </w: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6"/>
                <w:szCs w:val="16"/>
                <w:color w:val="auto"/>
              </w:rPr>
              <w:t>Mark-to-market losses (gains)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Purchased power and fuel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8,616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7,059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Change in mark-to-market is not a meaningful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For the three and six months ended June 30, 2023 compared to 2022, changes in </w:t>
      </w:r>
      <w:r>
        <w:rPr>
          <w:rFonts w:ascii="Arial" w:cs="Arial" w:eastAsia="Arial" w:hAnsi="Arial"/>
          <w:sz w:val="16"/>
          <w:szCs w:val="16"/>
          <w:b w:val="1"/>
          <w:bCs w:val="1"/>
          <w:color w:val="auto"/>
        </w:rPr>
        <w:t>Purchased power and fuel</w:t>
      </w:r>
      <w:r>
        <w:rPr>
          <w:rFonts w:ascii="Arial" w:cs="Arial" w:eastAsia="Arial" w:hAnsi="Arial"/>
          <w:sz w:val="16"/>
          <w:szCs w:val="16"/>
          <w:color w:val="auto"/>
        </w:rPr>
        <w:t xml:space="preserve"> expense by region were approximately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3"/>
                <w:szCs w:val="13"/>
                <w:b w:val="1"/>
                <w:bCs w:val="1"/>
                <w:color w:val="auto"/>
                <w:w w:val="98"/>
              </w:rPr>
              <w:t>Three Months Ended June 30</w:t>
            </w: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Six Months Ended June 30,</w:t>
            </w:r>
          </w:p>
        </w:tc>
        <w:tc>
          <w:tcPr>
            <w:tcW w:w="2500" w:type="dxa"/>
            <w:vAlign w:val="bottom"/>
          </w:tcPr>
          <w:p>
            <w:pPr>
              <w:spacing w:after="0"/>
              <w:rPr>
                <w:sz w:val="15"/>
                <w:szCs w:val="15"/>
                <w:color w:val="auto"/>
              </w:rPr>
            </w:pPr>
          </w:p>
        </w:tc>
      </w:tr>
      <w:tr>
        <w:trPr>
          <w:trHeight w:val="203"/>
        </w:trPr>
        <w:tc>
          <w:tcPr>
            <w:tcW w:w="1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Variance</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120" w:type="dxa"/>
            <w:vAlign w:val="bottom"/>
          </w:tcPr>
          <w:p>
            <w:pPr>
              <w:spacing w:after="0"/>
              <w:rPr>
                <w:sz w:val="17"/>
                <w:szCs w:val="17"/>
                <w:color w:val="auto"/>
              </w:rPr>
            </w:pPr>
          </w:p>
        </w:tc>
        <w:tc>
          <w:tcPr>
            <w:tcW w:w="2360" w:type="dxa"/>
            <w:vAlign w:val="bottom"/>
            <w:tcBorders>
              <w:bottom w:val="single" w:sz="8" w:color="auto"/>
            </w:tcBorders>
          </w:tcPr>
          <w:p>
            <w:pPr>
              <w:ind w:left="82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Variance</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2500" w:type="dxa"/>
            <w:vAlign w:val="bottom"/>
            <w:tcBorders>
              <w:bottom w:val="single" w:sz="8" w:color="auto"/>
            </w:tcBorders>
          </w:tcPr>
          <w:p>
            <w:pPr>
              <w:ind w:left="960"/>
              <w:spacing w:after="0"/>
              <w:rPr>
                <w:sz w:val="20"/>
                <w:szCs w:val="20"/>
                <w:color w:val="auto"/>
              </w:rPr>
            </w:pPr>
            <w:r>
              <w:rPr>
                <w:rFonts w:ascii="Arial" w:cs="Arial" w:eastAsia="Arial" w:hAnsi="Arial"/>
                <w:sz w:val="13"/>
                <w:szCs w:val="13"/>
                <w:b w:val="1"/>
                <w:bCs w:val="1"/>
                <w:color w:val="auto"/>
              </w:rPr>
              <w:t>Description</w:t>
            </w:r>
          </w:p>
        </w:tc>
      </w:tr>
      <w:tr>
        <w:trPr>
          <w:trHeight w:val="191"/>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Mid-Atlantic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27.7 %</w:t>
            </w:r>
          </w:p>
        </w:tc>
        <w:tc>
          <w:tcPr>
            <w:tcW w:w="12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favorable purchased power 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center"/>
              <w:ind w:left="325"/>
              <w:spacing w:after="0"/>
              <w:rPr>
                <w:sz w:val="20"/>
                <w:szCs w:val="20"/>
                <w:color w:val="auto"/>
              </w:rPr>
            </w:pPr>
            <w:r>
              <w:rPr>
                <w:rFonts w:ascii="Arial" w:cs="Arial" w:eastAsia="Arial" w:hAnsi="Arial"/>
                <w:sz w:val="16"/>
                <w:szCs w:val="16"/>
                <w:color w:val="auto"/>
                <w:w w:val="97"/>
              </w:rPr>
              <w:t>222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favorable purchased power and</w:t>
            </w:r>
          </w:p>
        </w:tc>
      </w:tr>
      <w:tr>
        <w:trPr>
          <w:trHeight w:val="176"/>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capacity impact of $240</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capacity impact of $320 primarily</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primarily due to lower energy prices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to lower energy prices partially</w:t>
            </w: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and higher nuclear generation</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offset by lower capacity prices</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partially offset by lower capacity</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earned; partially offset by</w:t>
            </w:r>
          </w:p>
        </w:tc>
      </w:tr>
      <w:tr>
        <w:trPr>
          <w:trHeight w:val="176"/>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prices earned; partially offset by</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unfavorable settlement of</w:t>
            </w:r>
          </w:p>
        </w:tc>
      </w:tr>
      <w:tr>
        <w:trPr>
          <w:trHeight w:val="176"/>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unfavorable settlement of</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economic hedges of ($55) due to</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economic hedges of ($40) due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settled prices relative to hedged</w:t>
            </w: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settled prices relative to hedged</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prices</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prices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unfavorable environmental</w:t>
            </w:r>
          </w:p>
        </w:tc>
      </w:tr>
      <w:tr>
        <w:trPr>
          <w:trHeight w:val="176"/>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products activity of ($40) primarily</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due to higher load served and REC</w:t>
            </w:r>
          </w:p>
        </w:tc>
      </w:tr>
      <w:tr>
        <w:trPr>
          <w:trHeight w:val="188"/>
        </w:trPr>
        <w:tc>
          <w:tcPr>
            <w:tcW w:w="1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prices</w:t>
            </w:r>
          </w:p>
        </w:tc>
      </w:tr>
      <w:tr>
        <w:trPr>
          <w:trHeight w:val="184"/>
        </w:trPr>
        <w:tc>
          <w:tcPr>
            <w:tcW w:w="1780" w:type="dxa"/>
            <w:vAlign w:val="bottom"/>
          </w:tcPr>
          <w:p>
            <w:pPr>
              <w:ind w:left="20"/>
              <w:spacing w:after="0"/>
              <w:rPr>
                <w:sz w:val="20"/>
                <w:szCs w:val="20"/>
                <w:color w:val="auto"/>
              </w:rPr>
            </w:pPr>
            <w:r>
              <w:rPr>
                <w:rFonts w:ascii="Arial" w:cs="Arial" w:eastAsia="Arial" w:hAnsi="Arial"/>
                <w:sz w:val="16"/>
                <w:szCs w:val="16"/>
                <w:color w:val="auto"/>
              </w:rPr>
              <w:t>Midwest</w:t>
            </w:r>
          </w:p>
        </w:tc>
        <w:tc>
          <w:tcPr>
            <w:tcW w:w="18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94</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 favorable cost associated with</w:t>
            </w:r>
          </w:p>
        </w:tc>
        <w:tc>
          <w:tcPr>
            <w:tcW w:w="160" w:type="dxa"/>
            <w:vAlign w:val="bottom"/>
          </w:tcPr>
          <w:p>
            <w:pPr>
              <w:spacing w:after="0"/>
              <w:rPr>
                <w:sz w:val="15"/>
                <w:szCs w:val="15"/>
                <w:color w:val="auto"/>
              </w:rPr>
            </w:pPr>
          </w:p>
        </w:tc>
        <w:tc>
          <w:tcPr>
            <w:tcW w:w="820" w:type="dxa"/>
            <w:vAlign w:val="bottom"/>
          </w:tcPr>
          <w:p>
            <w:pPr>
              <w:jc w:val="center"/>
              <w:ind w:left="325"/>
              <w:spacing w:after="0"/>
              <w:rPr>
                <w:sz w:val="20"/>
                <w:szCs w:val="20"/>
                <w:color w:val="auto"/>
              </w:rPr>
            </w:pPr>
            <w:r>
              <w:rPr>
                <w:rFonts w:ascii="Arial" w:cs="Arial" w:eastAsia="Arial" w:hAnsi="Arial"/>
                <w:sz w:val="16"/>
                <w:szCs w:val="16"/>
                <w:color w:val="auto"/>
                <w:w w:val="97"/>
              </w:rPr>
              <w:t>163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18.9 %</w:t>
            </w:r>
          </w:p>
        </w:tc>
        <w:tc>
          <w:tcPr>
            <w:tcW w:w="2500" w:type="dxa"/>
            <w:vAlign w:val="bottom"/>
          </w:tcPr>
          <w:p>
            <w:pPr>
              <w:ind w:left="140"/>
              <w:spacing w:after="0"/>
              <w:rPr>
                <w:sz w:val="20"/>
                <w:szCs w:val="20"/>
                <w:color w:val="auto"/>
              </w:rPr>
            </w:pPr>
            <w:r>
              <w:rPr>
                <w:rFonts w:ascii="Arial" w:cs="Arial" w:eastAsia="Arial" w:hAnsi="Arial"/>
                <w:sz w:val="14"/>
                <w:szCs w:val="14"/>
                <w:color w:val="auto"/>
              </w:rPr>
              <w:t>• favorable cost associated with</w:t>
            </w:r>
          </w:p>
        </w:tc>
      </w:tr>
      <w:tr>
        <w:trPr>
          <w:trHeight w:val="176"/>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power delivery and net capacity</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power delivery and net capacity</w:t>
            </w:r>
          </w:p>
        </w:tc>
      </w:tr>
      <w:tr>
        <w:trPr>
          <w:trHeight w:val="175"/>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impact of $100 primarily due to</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impact of $185 primarily due to</w:t>
            </w:r>
          </w:p>
        </w:tc>
      </w:tr>
      <w:tr>
        <w:trPr>
          <w:trHeight w:val="176"/>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lower energy prices partially offset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lower energy prices partially offset</w:t>
            </w:r>
          </w:p>
        </w:tc>
      </w:tr>
      <w:tr>
        <w:trPr>
          <w:trHeight w:val="182"/>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by lower capacity prices earned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by lower capacity prices earned</w:t>
            </w:r>
          </w:p>
        </w:tc>
      </w:tr>
      <w:tr>
        <w:trPr>
          <w:trHeight w:val="26"/>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84"/>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unfavorable settlement of</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285"/>
              <w:spacing w:after="0"/>
              <w:rPr>
                <w:sz w:val="20"/>
                <w:szCs w:val="20"/>
                <w:color w:val="auto"/>
              </w:rPr>
            </w:pPr>
            <w:r>
              <w:rPr>
                <w:rFonts w:ascii="Arial" w:cs="Arial" w:eastAsia="Arial" w:hAnsi="Arial"/>
                <w:sz w:val="16"/>
                <w:szCs w:val="16"/>
                <w:color w:val="auto"/>
              </w:rPr>
              <w:t>(232)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unfavorable settlement of</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economic hedges of ($115) due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economic hedges of ($320) due to</w:t>
            </w:r>
          </w:p>
        </w:tc>
      </w:tr>
      <w:tr>
        <w:trPr>
          <w:trHeight w:val="176"/>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settled prices relative to hedged</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settled prices relative to hedged</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prices; partially offset by</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prices; partially offset by</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favorable cost associated with</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favorable cost associated with</w:t>
            </w:r>
          </w:p>
        </w:tc>
      </w:tr>
      <w:tr>
        <w:trPr>
          <w:trHeight w:val="162"/>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power delivery and net capacity</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power delivery and net capacity</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impact of $60 primarily due to lower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$90 primarily due to lower</w:t>
            </w:r>
          </w:p>
        </w:tc>
      </w:tr>
      <w:tr>
        <w:trPr>
          <w:trHeight w:val="175"/>
        </w:trPr>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energy prices and higher capacity</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energy prices and higher capacity</w:t>
            </w:r>
          </w:p>
        </w:tc>
      </w:tr>
      <w:tr>
        <w:trPr>
          <w:trHeight w:val="188"/>
        </w:trPr>
        <w:tc>
          <w:tcPr>
            <w:tcW w:w="1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prices earned</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prices earned</w:t>
            </w:r>
          </w:p>
        </w:tc>
      </w:tr>
      <w:tr>
        <w:trPr>
          <w:trHeight w:val="197"/>
        </w:trPr>
        <w:tc>
          <w:tcPr>
            <w:tcW w:w="1780" w:type="dxa"/>
            <w:vAlign w:val="bottom"/>
          </w:tcPr>
          <w:p>
            <w:pPr>
              <w:ind w:left="20"/>
              <w:spacing w:after="0"/>
              <w:rPr>
                <w:sz w:val="20"/>
                <w:szCs w:val="20"/>
                <w:color w:val="auto"/>
              </w:rPr>
            </w:pPr>
            <w:r>
              <w:rPr>
                <w:rFonts w:ascii="Arial" w:cs="Arial" w:eastAsia="Arial" w:hAnsi="Arial"/>
                <w:sz w:val="16"/>
                <w:szCs w:val="16"/>
                <w:color w:val="auto"/>
              </w:rPr>
              <w:t>ERCOT</w:t>
            </w:r>
          </w:p>
        </w:tc>
        <w:tc>
          <w:tcPr>
            <w:tcW w:w="180" w:type="dxa"/>
            <w:vAlign w:val="bottom"/>
          </w:tcPr>
          <w:p>
            <w:pPr>
              <w:spacing w:after="0"/>
              <w:rPr>
                <w:sz w:val="17"/>
                <w:szCs w:val="17"/>
                <w:color w:val="auto"/>
              </w:rPr>
            </w:pP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232</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58.6 %</w:t>
            </w:r>
          </w:p>
        </w:tc>
        <w:tc>
          <w:tcPr>
            <w:tcW w:w="120" w:type="dxa"/>
            <w:vAlign w:val="bottom"/>
          </w:tcPr>
          <w:p>
            <w:pPr>
              <w:spacing w:after="0"/>
              <w:rPr>
                <w:sz w:val="17"/>
                <w:szCs w:val="17"/>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 favorable purchased power of</w:t>
            </w:r>
          </w:p>
        </w:tc>
        <w:tc>
          <w:tcPr>
            <w:tcW w:w="160" w:type="dxa"/>
            <w:vAlign w:val="bottom"/>
          </w:tcPr>
          <w:p>
            <w:pPr>
              <w:spacing w:after="0"/>
              <w:rPr>
                <w:sz w:val="17"/>
                <w:szCs w:val="17"/>
                <w:color w:val="auto"/>
              </w:rPr>
            </w:pPr>
          </w:p>
        </w:tc>
        <w:tc>
          <w:tcPr>
            <w:tcW w:w="820" w:type="dxa"/>
            <w:vAlign w:val="bottom"/>
          </w:tcPr>
          <w:p>
            <w:pPr>
              <w:jc w:val="center"/>
              <w:ind w:left="325"/>
              <w:spacing w:after="0"/>
              <w:rPr>
                <w:sz w:val="20"/>
                <w:szCs w:val="20"/>
                <w:color w:val="auto"/>
              </w:rPr>
            </w:pPr>
            <w:r>
              <w:rPr>
                <w:rFonts w:ascii="Arial" w:cs="Arial" w:eastAsia="Arial" w:hAnsi="Arial"/>
                <w:sz w:val="16"/>
                <w:szCs w:val="16"/>
                <w:color w:val="auto"/>
                <w:w w:val="97"/>
              </w:rPr>
              <w:t>271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49.2 %</w:t>
            </w:r>
          </w:p>
        </w:tc>
        <w:tc>
          <w:tcPr>
            <w:tcW w:w="2500" w:type="dxa"/>
            <w:vAlign w:val="bottom"/>
          </w:tcPr>
          <w:p>
            <w:pPr>
              <w:ind w:left="140"/>
              <w:spacing w:after="0"/>
              <w:rPr>
                <w:sz w:val="20"/>
                <w:szCs w:val="20"/>
                <w:color w:val="auto"/>
              </w:rPr>
            </w:pPr>
            <w:r>
              <w:rPr>
                <w:rFonts w:ascii="Arial" w:cs="Arial" w:eastAsia="Arial" w:hAnsi="Arial"/>
                <w:sz w:val="14"/>
                <w:szCs w:val="14"/>
                <w:color w:val="auto"/>
              </w:rPr>
              <w:t>• favorable purchased power of</w:t>
            </w: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$160 primarily due to lower energy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$170 primarily due to lower energy</w:t>
            </w:r>
          </w:p>
        </w:tc>
      </w:tr>
      <w:tr>
        <w:trPr>
          <w:trHeight w:val="175"/>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prices and higher generation</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prices and higher generation</w:t>
            </w:r>
          </w:p>
        </w:tc>
      </w:tr>
      <w:tr>
        <w:trPr>
          <w:trHeight w:val="176"/>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partially offset by higher load served</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partially offset by higher load served</w:t>
            </w:r>
          </w:p>
        </w:tc>
      </w:tr>
      <w:tr>
        <w:trPr>
          <w:trHeight w:val="175"/>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 favorable settlement of economic</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 favorable settlement of economic</w:t>
            </w:r>
          </w:p>
        </w:tc>
      </w:tr>
      <w:tr>
        <w:trPr>
          <w:trHeight w:val="175"/>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hedges of $55 due to settled prices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hedges of $65 due to settled prices</w:t>
            </w:r>
          </w:p>
        </w:tc>
      </w:tr>
      <w:tr>
        <w:trPr>
          <w:trHeight w:val="162"/>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2"/>
          </w:tcPr>
          <w:p>
            <w:pPr>
              <w:ind w:left="20"/>
              <w:spacing w:after="0"/>
              <w:rPr>
                <w:sz w:val="20"/>
                <w:szCs w:val="20"/>
                <w:color w:val="auto"/>
              </w:rPr>
            </w:pPr>
            <w:r>
              <w:rPr>
                <w:rFonts w:ascii="Arial" w:cs="Arial" w:eastAsia="Arial" w:hAnsi="Arial"/>
                <w:sz w:val="14"/>
                <w:szCs w:val="14"/>
                <w:color w:val="auto"/>
              </w:rPr>
              <w:t>relative to hedged prices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relative to hedged prices</w:t>
            </w:r>
          </w:p>
        </w:tc>
      </w:tr>
      <w:tr>
        <w:trPr>
          <w:trHeight w:val="182"/>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ind w:left="140"/>
              <w:spacing w:after="0"/>
              <w:rPr>
                <w:sz w:val="20"/>
                <w:szCs w:val="20"/>
                <w:color w:val="auto"/>
              </w:rPr>
            </w:pPr>
            <w:r>
              <w:rPr>
                <w:rFonts w:ascii="Arial" w:cs="Arial" w:eastAsia="Arial" w:hAnsi="Arial"/>
                <w:sz w:val="14"/>
                <w:szCs w:val="14"/>
                <w:color w:val="auto"/>
              </w:rPr>
              <w:t>• favorable fuel cost of $40 primarily</w:t>
            </w:r>
          </w:p>
        </w:tc>
      </w:tr>
    </w:tbl>
    <w:p>
      <w:pPr>
        <w:ind w:left="8880"/>
        <w:spacing w:after="0"/>
        <w:rPr>
          <w:sz w:val="20"/>
          <w:szCs w:val="20"/>
          <w:color w:val="auto"/>
        </w:rPr>
      </w:pPr>
      <w:r>
        <w:rPr>
          <w:rFonts w:ascii="Arial" w:cs="Arial" w:eastAsia="Arial" w:hAnsi="Arial"/>
          <w:sz w:val="14"/>
          <w:szCs w:val="14"/>
          <w:color w:val="auto"/>
        </w:rPr>
        <w:t>due to lower gas prices partially</w:t>
      </w:r>
    </w:p>
    <w:p>
      <w:pPr>
        <w:spacing w:after="0" w:line="15" w:lineRule="exact"/>
        <w:rPr>
          <w:sz w:val="20"/>
          <w:szCs w:val="20"/>
          <w:color w:val="auto"/>
        </w:rPr>
      </w:pPr>
    </w:p>
    <w:p>
      <w:pPr>
        <w:ind w:left="8880"/>
        <w:spacing w:after="0"/>
        <w:rPr>
          <w:sz w:val="20"/>
          <w:szCs w:val="20"/>
          <w:color w:val="auto"/>
        </w:rPr>
      </w:pPr>
      <w:r>
        <w:rPr>
          <w:rFonts w:ascii="Arial" w:cs="Arial" w:eastAsia="Arial" w:hAnsi="Arial"/>
          <w:sz w:val="14"/>
          <w:szCs w:val="14"/>
          <w:color w:val="auto"/>
        </w:rPr>
        <w:t>offset by higher generation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rPr>
              <w:t>Six Months Ended June 30,</w:t>
            </w:r>
          </w:p>
        </w:tc>
        <w:tc>
          <w:tcPr>
            <w:tcW w:w="2480" w:type="dxa"/>
            <w:vAlign w:val="bottom"/>
          </w:tcPr>
          <w:p>
            <w:pPr>
              <w:spacing w:after="0"/>
              <w:rPr>
                <w:sz w:val="15"/>
                <w:szCs w:val="15"/>
                <w:color w:val="auto"/>
              </w:rPr>
            </w:pPr>
          </w:p>
        </w:tc>
      </w:tr>
      <w:tr>
        <w:trPr>
          <w:trHeight w:val="216"/>
        </w:trPr>
        <w:tc>
          <w:tcPr>
            <w:tcW w:w="1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Variance</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ind w:left="84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Variance</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(a)</w:t>
            </w:r>
          </w:p>
        </w:tc>
        <w:tc>
          <w:tcPr>
            <w:tcW w:w="2480" w:type="dxa"/>
            <w:vAlign w:val="bottom"/>
            <w:tcBorders>
              <w:bottom w:val="single" w:sz="8" w:color="auto"/>
            </w:tcBorders>
          </w:tcPr>
          <w:p>
            <w:pPr>
              <w:ind w:left="940"/>
              <w:spacing w:after="0"/>
              <w:rPr>
                <w:sz w:val="20"/>
                <w:szCs w:val="20"/>
                <w:color w:val="auto"/>
              </w:rPr>
            </w:pPr>
            <w:r>
              <w:rPr>
                <w:rFonts w:ascii="Arial" w:cs="Arial" w:eastAsia="Arial" w:hAnsi="Arial"/>
                <w:sz w:val="13"/>
                <w:szCs w:val="13"/>
                <w:b w:val="1"/>
                <w:bCs w:val="1"/>
                <w:color w:val="auto"/>
              </w:rPr>
              <w:t>Description</w:t>
            </w:r>
          </w:p>
        </w:tc>
      </w:tr>
      <w:tr>
        <w:trPr>
          <w:trHeight w:val="177"/>
        </w:trPr>
        <w:tc>
          <w:tcPr>
            <w:tcW w:w="1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Other Power Regions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325"/>
              <w:spacing w:after="0" w:line="178" w:lineRule="exact"/>
              <w:rPr>
                <w:sz w:val="20"/>
                <w:szCs w:val="20"/>
                <w:color w:val="auto"/>
              </w:rPr>
            </w:pPr>
            <w:r>
              <w:rPr>
                <w:rFonts w:ascii="Arial" w:cs="Arial" w:eastAsia="Arial" w:hAnsi="Arial"/>
                <w:sz w:val="16"/>
                <w:szCs w:val="16"/>
                <w:color w:val="auto"/>
                <w:w w:val="97"/>
              </w:rPr>
              <w:t>268</w:t>
            </w:r>
          </w:p>
        </w:tc>
        <w:tc>
          <w:tcPr>
            <w:tcW w:w="100" w:type="dxa"/>
            <w:vAlign w:val="bottom"/>
            <w:shd w:val="clear" w:color="auto" w:fill="CCEEFF"/>
          </w:tcPr>
          <w:p>
            <w:pPr>
              <w:spacing w:after="0"/>
              <w:rPr>
                <w:sz w:val="15"/>
                <w:szCs w:val="15"/>
                <w:color w:val="auto"/>
              </w:rPr>
            </w:pPr>
          </w:p>
        </w:tc>
        <w:tc>
          <w:tcPr>
            <w:tcW w:w="3680" w:type="dxa"/>
            <w:vAlign w:val="bottom"/>
            <w:gridSpan w:val="4"/>
            <w:shd w:val="clear" w:color="auto" w:fill="CCEEFF"/>
          </w:tcPr>
          <w:p>
            <w:pPr>
              <w:ind w:left="580"/>
              <w:spacing w:after="0" w:line="178" w:lineRule="exact"/>
              <w:rPr>
                <w:sz w:val="20"/>
                <w:szCs w:val="20"/>
                <w:color w:val="auto"/>
              </w:rPr>
            </w:pPr>
            <w:r>
              <w:rPr>
                <w:rFonts w:ascii="Arial" w:cs="Arial" w:eastAsia="Arial" w:hAnsi="Arial"/>
                <w:sz w:val="16"/>
                <w:szCs w:val="16"/>
                <w:color w:val="auto"/>
              </w:rPr>
              <w:t xml:space="preserve">23.1 %  </w:t>
            </w:r>
            <w:r>
              <w:rPr>
                <w:rFonts w:ascii="Arial" w:cs="Arial" w:eastAsia="Arial" w:hAnsi="Arial"/>
                <w:sz w:val="14"/>
                <w:szCs w:val="14"/>
                <w:color w:val="auto"/>
              </w:rPr>
              <w:t>• favorable purchased power and</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366</w:t>
            </w:r>
          </w:p>
        </w:tc>
        <w:tc>
          <w:tcPr>
            <w:tcW w:w="12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13.1 %</w:t>
            </w: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favorable purchased power and</w:t>
            </w:r>
          </w:p>
        </w:tc>
      </w:tr>
      <w:tr>
        <w:trPr>
          <w:trHeight w:val="175"/>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fuel of $660 primarily due to lower</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fuel of $1,590 primarily due to lower</w:t>
            </w:r>
          </w:p>
        </w:tc>
      </w:tr>
      <w:tr>
        <w:trPr>
          <w:trHeight w:val="176"/>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energy prices and lower load served</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energy prices and lower load served</w:t>
            </w:r>
          </w:p>
        </w:tc>
      </w:tr>
      <w:tr>
        <w:trPr>
          <w:trHeight w:val="175"/>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partially offset by increased fuel</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unfavorable settlement of</w:t>
            </w:r>
          </w:p>
        </w:tc>
      </w:tr>
      <w:tr>
        <w:trPr>
          <w:trHeight w:val="176"/>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costs primarily due to increased fuel</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economic hedges of ($1,200) due to</w:t>
            </w:r>
          </w:p>
        </w:tc>
      </w:tr>
      <w:tr>
        <w:trPr>
          <w:trHeight w:val="162"/>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burn for generation; partially offset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settled prices relative to hedged</w:t>
            </w:r>
          </w:p>
        </w:tc>
      </w:tr>
      <w:tr>
        <w:trPr>
          <w:trHeight w:val="176"/>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by</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prices</w:t>
            </w:r>
          </w:p>
        </w:tc>
      </w:tr>
      <w:tr>
        <w:trPr>
          <w:trHeight w:val="176"/>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unfavorable settlement of</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175"/>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economic hedges of ($380) due to</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162"/>
        </w:trPr>
        <w:tc>
          <w:tcPr>
            <w:tcW w:w="1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settled prices relative to hedged</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r>
      <w:tr>
        <w:trPr>
          <w:trHeight w:val="182"/>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prices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201"/>
        </w:trPr>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r>
      <w:tr>
        <w:trPr>
          <w:trHeight w:val="197"/>
        </w:trPr>
        <w:tc>
          <w:tcPr>
            <w:tcW w:w="180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820" w:type="dxa"/>
            <w:vAlign w:val="bottom"/>
          </w:tcPr>
          <w:p>
            <w:pPr>
              <w:jc w:val="center"/>
              <w:ind w:left="325"/>
              <w:spacing w:after="0"/>
              <w:rPr>
                <w:sz w:val="20"/>
                <w:szCs w:val="20"/>
                <w:color w:val="auto"/>
              </w:rPr>
            </w:pPr>
            <w:r>
              <w:rPr>
                <w:rFonts w:ascii="Arial" w:cs="Arial" w:eastAsia="Arial" w:hAnsi="Arial"/>
                <w:sz w:val="16"/>
                <w:szCs w:val="16"/>
                <w:color w:val="auto"/>
                <w:w w:val="97"/>
              </w:rPr>
              <w:t>462</w:t>
            </w:r>
          </w:p>
        </w:tc>
        <w:tc>
          <w:tcPr>
            <w:tcW w:w="100" w:type="dxa"/>
            <w:vAlign w:val="bottom"/>
          </w:tcPr>
          <w:p>
            <w:pPr>
              <w:spacing w:after="0"/>
              <w:rPr>
                <w:sz w:val="17"/>
                <w:szCs w:val="17"/>
                <w:color w:val="auto"/>
              </w:rPr>
            </w:pPr>
          </w:p>
        </w:tc>
        <w:tc>
          <w:tcPr>
            <w:tcW w:w="3680" w:type="dxa"/>
            <w:vAlign w:val="bottom"/>
            <w:gridSpan w:val="4"/>
          </w:tcPr>
          <w:p>
            <w:pPr>
              <w:ind w:left="580"/>
              <w:spacing w:after="0"/>
              <w:rPr>
                <w:sz w:val="20"/>
                <w:szCs w:val="20"/>
                <w:color w:val="auto"/>
              </w:rPr>
            </w:pPr>
            <w:r>
              <w:rPr>
                <w:rFonts w:ascii="Arial" w:cs="Arial" w:eastAsia="Arial" w:hAnsi="Arial"/>
                <w:sz w:val="16"/>
                <w:szCs w:val="16"/>
                <w:color w:val="auto"/>
              </w:rPr>
              <w:t xml:space="preserve">42.2 %  </w:t>
            </w:r>
            <w:r>
              <w:rPr>
                <w:rFonts w:ascii="Arial" w:cs="Arial" w:eastAsia="Arial" w:hAnsi="Arial"/>
                <w:sz w:val="14"/>
                <w:szCs w:val="14"/>
                <w:color w:val="auto"/>
              </w:rPr>
              <w:t>• favorable net gas purchase costs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2480" w:type="dxa"/>
            <w:vAlign w:val="bottom"/>
          </w:tcPr>
          <w:p>
            <w:pPr>
              <w:ind w:left="120"/>
              <w:spacing w:after="0"/>
              <w:rPr>
                <w:sz w:val="20"/>
                <w:szCs w:val="20"/>
                <w:color w:val="auto"/>
              </w:rPr>
            </w:pPr>
            <w:r>
              <w:rPr>
                <w:rFonts w:ascii="Arial" w:cs="Arial" w:eastAsia="Arial" w:hAnsi="Arial"/>
                <w:sz w:val="14"/>
                <w:szCs w:val="14"/>
                <w:color w:val="auto"/>
              </w:rPr>
              <w:t>• favorable net gas purchase costs</w:t>
            </w:r>
          </w:p>
        </w:tc>
      </w:tr>
      <w:tr>
        <w:trPr>
          <w:trHeight w:val="176"/>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and settlement of economic hedges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Pr>
          <w:p>
            <w:pPr>
              <w:ind w:left="120"/>
              <w:spacing w:after="0"/>
              <w:rPr>
                <w:sz w:val="20"/>
                <w:szCs w:val="20"/>
                <w:color w:val="auto"/>
              </w:rPr>
            </w:pPr>
            <w:r>
              <w:rPr>
                <w:rFonts w:ascii="Arial" w:cs="Arial" w:eastAsia="Arial" w:hAnsi="Arial"/>
                <w:sz w:val="14"/>
                <w:szCs w:val="14"/>
                <w:color w:val="auto"/>
              </w:rPr>
              <w:t>and settlement of economic hedges</w:t>
            </w:r>
          </w:p>
        </w:tc>
      </w:tr>
      <w:tr>
        <w:trPr>
          <w:trHeight w:val="162"/>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of $330 primarily due to lower gas</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80" w:type="dxa"/>
            <w:vAlign w:val="bottom"/>
          </w:tcPr>
          <w:p>
            <w:pPr>
              <w:ind w:left="120"/>
              <w:spacing w:after="0"/>
              <w:rPr>
                <w:sz w:val="20"/>
                <w:szCs w:val="20"/>
                <w:color w:val="auto"/>
              </w:rPr>
            </w:pPr>
            <w:r>
              <w:rPr>
                <w:rFonts w:ascii="Arial" w:cs="Arial" w:eastAsia="Arial" w:hAnsi="Arial"/>
                <w:sz w:val="14"/>
                <w:szCs w:val="14"/>
                <w:color w:val="auto"/>
              </w:rPr>
              <w:t>of $190 primarily due to lower gas</w:t>
            </w:r>
          </w:p>
        </w:tc>
      </w:tr>
      <w:tr>
        <w:trPr>
          <w:trHeight w:val="176"/>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prices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Pr>
          <w:p>
            <w:pPr>
              <w:ind w:left="120"/>
              <w:spacing w:after="0"/>
              <w:rPr>
                <w:sz w:val="20"/>
                <w:szCs w:val="20"/>
                <w:color w:val="auto"/>
              </w:rPr>
            </w:pPr>
            <w:r>
              <w:rPr>
                <w:rFonts w:ascii="Arial" w:cs="Arial" w:eastAsia="Arial" w:hAnsi="Arial"/>
                <w:sz w:val="14"/>
                <w:szCs w:val="14"/>
                <w:color w:val="auto"/>
              </w:rPr>
              <w:t>prices</w:t>
            </w:r>
          </w:p>
        </w:tc>
      </w:tr>
      <w:tr>
        <w:trPr>
          <w:trHeight w:val="175"/>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 favorable energy purchases of</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Pr>
          <w:p>
            <w:pPr>
              <w:ind w:left="120"/>
              <w:spacing w:after="0"/>
              <w:rPr>
                <w:sz w:val="20"/>
                <w:szCs w:val="20"/>
                <w:color w:val="auto"/>
              </w:rPr>
            </w:pPr>
            <w:r>
              <w:rPr>
                <w:rFonts w:ascii="Arial" w:cs="Arial" w:eastAsia="Arial" w:hAnsi="Arial"/>
                <w:sz w:val="14"/>
                <w:szCs w:val="14"/>
                <w:color w:val="auto"/>
              </w:rPr>
              <w:t>• favorable energy purchases of $20</w:t>
            </w:r>
          </w:p>
        </w:tc>
      </w:tr>
      <w:tr>
        <w:trPr>
          <w:trHeight w:val="176"/>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$100 primarily due to lower energy</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Pr>
          <w:p>
            <w:pPr>
              <w:ind w:left="120"/>
              <w:spacing w:after="0"/>
              <w:rPr>
                <w:sz w:val="20"/>
                <w:szCs w:val="20"/>
                <w:color w:val="auto"/>
              </w:rPr>
            </w:pPr>
            <w:r>
              <w:rPr>
                <w:rFonts w:ascii="Arial" w:cs="Arial" w:eastAsia="Arial" w:hAnsi="Arial"/>
                <w:sz w:val="14"/>
                <w:szCs w:val="14"/>
                <w:color w:val="auto"/>
              </w:rPr>
              <w:t>primarily due to lower energy prices</w:t>
            </w:r>
          </w:p>
        </w:tc>
      </w:tr>
      <w:tr>
        <w:trPr>
          <w:trHeight w:val="182"/>
        </w:trPr>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prices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26"/>
        </w:trPr>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184"/>
        </w:trPr>
        <w:tc>
          <w:tcPr>
            <w:tcW w:w="1800" w:type="dxa"/>
            <w:vAlign w:val="bottom"/>
            <w:shd w:val="clear" w:color="auto" w:fill="CCEEFF"/>
          </w:tcPr>
          <w:p>
            <w:pPr>
              <w:ind w:left="20"/>
              <w:spacing w:after="0" w:line="184" w:lineRule="exact"/>
              <w:rPr>
                <w:sz w:val="20"/>
                <w:szCs w:val="20"/>
                <w:color w:val="auto"/>
              </w:rPr>
            </w:pPr>
            <w:r>
              <w:rPr>
                <w:rFonts w:ascii="Arial" w:cs="Arial" w:eastAsia="Arial" w:hAnsi="Arial"/>
                <w:sz w:val="16"/>
                <w:szCs w:val="16"/>
                <w:color w:val="auto"/>
              </w:rPr>
              <w:t>Mark-to-market</w:t>
            </w:r>
            <w:r>
              <w:rPr>
                <w:rFonts w:ascii="Arial" w:cs="Arial" w:eastAsia="Arial" w:hAnsi="Arial"/>
                <w:sz w:val="21"/>
                <w:szCs w:val="21"/>
                <w:color w:val="auto"/>
                <w:vertAlign w:val="superscript"/>
              </w:rPr>
              <w:t>(b)</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285"/>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losses on economic hedging</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losses on economic hedging</w:t>
            </w:r>
          </w:p>
        </w:tc>
      </w:tr>
      <w:tr>
        <w:trPr>
          <w:trHeight w:val="175"/>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activities of ($219) in 2023</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activities of ($1,414) in 2023</w:t>
            </w:r>
          </w:p>
        </w:tc>
      </w:tr>
      <w:tr>
        <w:trPr>
          <w:trHeight w:val="176"/>
        </w:trPr>
        <w:tc>
          <w:tcPr>
            <w:tcW w:w="1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compared to gains of $343 in 2022</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compared to gains of $1,172 in</w:t>
            </w:r>
          </w:p>
        </w:tc>
      </w:tr>
      <w:tr>
        <w:trPr>
          <w:trHeight w:val="188"/>
        </w:trPr>
        <w:tc>
          <w:tcPr>
            <w:tcW w:w="18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2022</w:t>
            </w:r>
          </w:p>
        </w:tc>
      </w:tr>
      <w:tr>
        <w:trPr>
          <w:trHeight w:val="253"/>
        </w:trPr>
        <w:tc>
          <w:tcPr>
            <w:tcW w:w="18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325"/>
              <w:spacing w:after="0"/>
              <w:rPr>
                <w:sz w:val="20"/>
                <w:szCs w:val="20"/>
                <w:color w:val="auto"/>
              </w:rPr>
            </w:pPr>
            <w:r>
              <w:rPr>
                <w:rFonts w:ascii="Arial" w:cs="Arial" w:eastAsia="Arial" w:hAnsi="Arial"/>
                <w:sz w:val="16"/>
                <w:szCs w:val="16"/>
                <w:color w:val="auto"/>
                <w:w w:val="97"/>
              </w:rPr>
              <w:t>621</w:t>
            </w:r>
          </w:p>
        </w:tc>
        <w:tc>
          <w:tcPr>
            <w:tcW w:w="1200" w:type="dxa"/>
            <w:vAlign w:val="bottom"/>
            <w:gridSpan w:val="2"/>
          </w:tcPr>
          <w:p>
            <w:pPr>
              <w:ind w:left="680"/>
              <w:spacing w:after="0"/>
              <w:rPr>
                <w:sz w:val="20"/>
                <w:szCs w:val="20"/>
                <w:color w:val="auto"/>
              </w:rPr>
            </w:pPr>
            <w:r>
              <w:rPr>
                <w:rFonts w:ascii="Arial" w:cs="Arial" w:eastAsia="Arial" w:hAnsi="Arial"/>
                <w:sz w:val="16"/>
                <w:szCs w:val="16"/>
                <w:color w:val="auto"/>
              </w:rPr>
              <w:t>17.7 %</w:t>
            </w:r>
          </w:p>
        </w:tc>
        <w:tc>
          <w:tcPr>
            <w:tcW w:w="1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2480" w:type="dxa"/>
            <w:vAlign w:val="bottom"/>
          </w:tcPr>
          <w:p>
            <w:pPr>
              <w:spacing w:after="0"/>
              <w:rPr>
                <w:sz w:val="22"/>
                <w:szCs w:val="22"/>
                <w:color w:val="auto"/>
              </w:rPr>
            </w:pPr>
          </w:p>
        </w:tc>
      </w:tr>
      <w:tr>
        <w:trPr>
          <w:trHeight w:val="23"/>
        </w:trPr>
        <w:tc>
          <w:tcPr>
            <w:tcW w:w="18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480" w:type="dxa"/>
            <w:vAlign w:val="bottom"/>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Change in mark-to-market is not a meaningful measure.</w:t>
      </w:r>
    </w:p>
    <w:p>
      <w:pPr>
        <w:spacing w:after="0" w:line="16" w:lineRule="exact"/>
        <w:rPr>
          <w:rFonts w:ascii="Arial" w:cs="Arial" w:eastAsia="Arial" w:hAnsi="Arial"/>
          <w:sz w:val="14"/>
          <w:szCs w:val="14"/>
          <w:color w:val="auto"/>
        </w:rPr>
      </w:pPr>
    </w:p>
    <w:p>
      <w:pPr>
        <w:ind w:left="340" w:hanging="332"/>
        <w:spacing w:after="0" w:line="26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Note 10 — Derivative Financial Instruments of the Combined Notes to Consolidated Financial Statements for additional information on mark-to-market gains and losses.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the three and six months ended June 30, 2023 compared to 2022, changes in </w:t>
      </w:r>
      <w:r>
        <w:rPr>
          <w:rFonts w:ascii="Arial" w:cs="Arial" w:eastAsia="Arial" w:hAnsi="Arial"/>
          <w:sz w:val="16"/>
          <w:szCs w:val="16"/>
          <w:b w:val="1"/>
          <w:bCs w:val="1"/>
          <w:color w:val="auto"/>
        </w:rPr>
        <w:t>Operating and maintenance expense</w:t>
      </w:r>
      <w:r>
        <w:rPr>
          <w:rFonts w:ascii="Arial" w:cs="Arial" w:eastAsia="Arial" w:hAnsi="Arial"/>
          <w:sz w:val="16"/>
          <w:szCs w:val="16"/>
          <w:color w:val="auto"/>
        </w:rPr>
        <w:t xml:space="preserv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right"/>
              <w:ind w:right="63"/>
              <w:spacing w:after="0"/>
              <w:rPr>
                <w:sz w:val="20"/>
                <w:szCs w:val="20"/>
                <w:color w:val="auto"/>
              </w:rPr>
            </w:pPr>
            <w:r>
              <w:rPr>
                <w:rFonts w:ascii="Arial" w:cs="Arial" w:eastAsia="Arial" w:hAnsi="Arial"/>
                <w:sz w:val="13"/>
                <w:szCs w:val="13"/>
                <w:b w:val="1"/>
                <w:bCs w:val="1"/>
                <w:color w:val="auto"/>
                <w:w w:val="96"/>
              </w:rPr>
              <w:t>Three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ind w:right="123"/>
              <w:spacing w:after="0"/>
              <w:rPr>
                <w:sz w:val="20"/>
                <w:szCs w:val="20"/>
                <w:color w:val="auto"/>
              </w:rPr>
            </w:pPr>
            <w:r>
              <w:rPr>
                <w:rFonts w:ascii="Arial" w:cs="Arial" w:eastAsia="Arial" w:hAnsi="Arial"/>
                <w:sz w:val="13"/>
                <w:szCs w:val="13"/>
                <w:b w:val="1"/>
                <w:bCs w:val="1"/>
                <w:color w:val="auto"/>
                <w:w w:val="99"/>
              </w:rPr>
              <w:t>Six Months Ended June 30</w:t>
            </w:r>
          </w:p>
        </w:tc>
      </w:tr>
      <w:tr>
        <w:trPr>
          <w:trHeight w:val="22"/>
        </w:trPr>
        <w:tc>
          <w:tcPr>
            <w:tcW w:w="7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5"/>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right"/>
              <w:ind w:right="323"/>
              <w:spacing w:after="0"/>
              <w:rPr>
                <w:sz w:val="20"/>
                <w:szCs w:val="20"/>
                <w:color w:val="auto"/>
              </w:rPr>
            </w:pPr>
            <w:r>
              <w:rPr>
                <w:rFonts w:ascii="Arial" w:cs="Arial" w:eastAsia="Arial" w:hAnsi="Arial"/>
                <w:sz w:val="13"/>
                <w:szCs w:val="13"/>
                <w:b w:val="1"/>
                <w:bCs w:val="1"/>
                <w:color w:val="auto"/>
              </w:rPr>
              <w:t>(Decrease) Increase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ind w:right="343"/>
              <w:spacing w:after="0"/>
              <w:rPr>
                <w:sz w:val="20"/>
                <w:szCs w:val="20"/>
                <w:color w:val="auto"/>
              </w:rPr>
            </w:pPr>
            <w:r>
              <w:rPr>
                <w:rFonts w:ascii="Arial" w:cs="Arial" w:eastAsia="Arial" w:hAnsi="Arial"/>
                <w:sz w:val="13"/>
                <w:szCs w:val="13"/>
                <w:b w:val="1"/>
                <w:bCs w:val="1"/>
                <w:color w:val="auto"/>
              </w:rPr>
              <w:t>(Decrease) Increase</w:t>
            </w:r>
          </w:p>
        </w:tc>
      </w:tr>
      <w:tr>
        <w:trPr>
          <w:trHeight w:val="35"/>
        </w:trPr>
        <w:tc>
          <w:tcPr>
            <w:tcW w:w="7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contracting, and materials</w:t>
            </w:r>
            <w:r>
              <w:rPr>
                <w:rFonts w:ascii="Arial" w:cs="Arial" w:eastAsia="Arial" w:hAnsi="Arial"/>
                <w:sz w:val="21"/>
                <w:szCs w:val="21"/>
                <w:color w:val="auto"/>
                <w:vertAlign w:val="superscript"/>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222</w:t>
            </w:r>
          </w:p>
        </w:tc>
      </w:tr>
      <w:tr>
        <w:trPr>
          <w:trHeight w:val="240"/>
        </w:trPr>
        <w:tc>
          <w:tcPr>
            <w:tcW w:w="7100" w:type="dxa"/>
            <w:vAlign w:val="bottom"/>
          </w:tcPr>
          <w:p>
            <w:pPr>
              <w:ind w:left="20"/>
              <w:spacing w:after="0"/>
              <w:rPr>
                <w:sz w:val="20"/>
                <w:szCs w:val="20"/>
                <w:color w:val="auto"/>
              </w:rPr>
            </w:pPr>
            <w:r>
              <w:rPr>
                <w:rFonts w:ascii="Arial" w:cs="Arial" w:eastAsia="Arial" w:hAnsi="Arial"/>
                <w:sz w:val="16"/>
                <w:szCs w:val="16"/>
                <w:color w:val="auto"/>
              </w:rPr>
              <w:t>Nuclear refueling outage costs, including the co-owned Salem generating units</w:t>
            </w:r>
          </w:p>
        </w:tc>
        <w:tc>
          <w:tcPr>
            <w:tcW w:w="100" w:type="dxa"/>
            <w:vAlign w:val="bottom"/>
          </w:tcPr>
          <w:p>
            <w:pPr>
              <w:spacing w:after="0"/>
              <w:rPr>
                <w:sz w:val="20"/>
                <w:szCs w:val="20"/>
                <w:color w:val="auto"/>
              </w:rPr>
            </w:pPr>
          </w:p>
        </w:tc>
        <w:tc>
          <w:tcPr>
            <w:tcW w:w="1900" w:type="dxa"/>
            <w:vAlign w:val="bottom"/>
          </w:tcPr>
          <w:p>
            <w:pPr>
              <w:jc w:val="right"/>
              <w:ind w:right="3"/>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3"/>
              <w:spacing w:after="0"/>
              <w:rPr>
                <w:sz w:val="20"/>
                <w:szCs w:val="20"/>
                <w:color w:val="auto"/>
              </w:rPr>
            </w:pPr>
            <w:r>
              <w:rPr>
                <w:rFonts w:ascii="Arial" w:cs="Arial" w:eastAsia="Arial" w:hAnsi="Arial"/>
                <w:sz w:val="16"/>
                <w:szCs w:val="16"/>
                <w:color w:val="auto"/>
              </w:rPr>
              <w:t>93</w:t>
            </w:r>
          </w:p>
        </w:tc>
      </w:tr>
      <w:tr>
        <w:trPr>
          <w:trHeight w:val="26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IT &amp; Travel</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w:t>
            </w:r>
          </w:p>
        </w:tc>
      </w:tr>
      <w:tr>
        <w:trPr>
          <w:trHeight w:val="240"/>
        </w:trPr>
        <w:tc>
          <w:tcPr>
            <w:tcW w:w="7100" w:type="dxa"/>
            <w:vAlign w:val="bottom"/>
          </w:tcPr>
          <w:p>
            <w:pPr>
              <w:ind w:left="20"/>
              <w:spacing w:after="0"/>
              <w:rPr>
                <w:sz w:val="20"/>
                <w:szCs w:val="20"/>
                <w:color w:val="auto"/>
              </w:rPr>
            </w:pPr>
            <w:r>
              <w:rPr>
                <w:rFonts w:ascii="Arial" w:cs="Arial" w:eastAsia="Arial" w:hAnsi="Arial"/>
                <w:sz w:val="16"/>
                <w:szCs w:val="16"/>
                <w:color w:val="auto"/>
              </w:rPr>
              <w:t>Credit loss expense</w:t>
            </w:r>
          </w:p>
        </w:tc>
        <w:tc>
          <w:tcPr>
            <w:tcW w:w="100" w:type="dxa"/>
            <w:vAlign w:val="bottom"/>
          </w:tcPr>
          <w:p>
            <w:pPr>
              <w:spacing w:after="0"/>
              <w:rPr>
                <w:sz w:val="20"/>
                <w:szCs w:val="20"/>
                <w:color w:val="auto"/>
              </w:rPr>
            </w:pPr>
          </w:p>
        </w:tc>
        <w:tc>
          <w:tcPr>
            <w:tcW w:w="190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ind w:right="3"/>
              <w:spacing w:after="0"/>
              <w:rPr>
                <w:sz w:val="20"/>
                <w:szCs w:val="20"/>
                <w:color w:val="auto"/>
              </w:rPr>
            </w:pPr>
            <w:r>
              <w:rPr>
                <w:rFonts w:ascii="Arial" w:cs="Arial" w:eastAsia="Arial" w:hAnsi="Arial"/>
                <w:sz w:val="16"/>
                <w:szCs w:val="16"/>
                <w:color w:val="auto"/>
              </w:rPr>
              <w:t>22</w:t>
            </w:r>
          </w:p>
        </w:tc>
      </w:tr>
      <w:tr>
        <w:trPr>
          <w:trHeight w:val="24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Decommissioning-related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r>
      <w:tr>
        <w:trPr>
          <w:trHeight w:val="236"/>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w:t>
            </w:r>
          </w:p>
        </w:tc>
      </w:tr>
      <w:tr>
        <w:trPr>
          <w:trHeight w:val="25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increase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Primarily reflects increased employee-related costs, including labor, and other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Interest expense, net </w:t>
      </w:r>
      <w:r>
        <w:rPr>
          <w:rFonts w:ascii="Arial" w:cs="Arial" w:eastAsia="Arial" w:hAnsi="Arial"/>
          <w:sz w:val="16"/>
          <w:szCs w:val="16"/>
          <w:color w:val="auto"/>
        </w:rPr>
        <w:t>increased for the three months ended June 30, 2023 compared to the same period in 2022, primarily due to the issuance of senior</w:t>
      </w:r>
      <w:r>
        <w:rPr>
          <w:rFonts w:ascii="Arial" w:cs="Arial" w:eastAsia="Arial" w:hAnsi="Arial"/>
          <w:sz w:val="16"/>
          <w:szCs w:val="16"/>
          <w:b w:val="1"/>
          <w:bCs w:val="1"/>
          <w:color w:val="auto"/>
        </w:rPr>
        <w:t xml:space="preserve"> </w:t>
      </w:r>
      <w:r>
        <w:rPr>
          <w:rFonts w:ascii="Arial" w:cs="Arial" w:eastAsia="Arial" w:hAnsi="Arial"/>
          <w:sz w:val="16"/>
          <w:szCs w:val="16"/>
          <w:color w:val="auto"/>
        </w:rPr>
        <w:t>notes and tax exempt bonds, increased fees and interest on short term borrowings, and changes in the 13-week Treasury rate for our SNF obligation. Interest expense, net increased for the six months ended June 30, 2023 compared to the same period in 2022, primarily due to the issuance of senior notes and tax exempt bonds, increased fees and interest on short term borrowings, changes in the 13-week Treasury rate for our SNF obligation, and lower mark-to-market gains on the interest rate swaps on non-recourse debt. See Note 11 — Debt and Credit Agreements of the Combined Notes to Consolidated Financial Statements for additional information on our senior notes and tax-exempt bonds. See Note 17 — Debt and Credit Agreements of our 2022 Form 10-K for additional information on our interest rate swaps and short-term borrowings. See Note 19 — Commitments and Contingencies of our 2022 Form 10-K for additional information on our SNF obligation.</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color w:val="auto"/>
        </w:rPr>
        <w:t xml:space="preserve">Other, net </w:t>
      </w:r>
      <w:r>
        <w:rPr>
          <w:rFonts w:ascii="Arial" w:cs="Arial" w:eastAsia="Arial" w:hAnsi="Arial"/>
          <w:sz w:val="16"/>
          <w:szCs w:val="16"/>
          <w:color w:val="auto"/>
        </w:rPr>
        <w:t>was favorable for the three and six months ended June 30, 2023 compared to the same period in 2022, due to activity described in the table</w:t>
      </w:r>
      <w:r>
        <w:rPr>
          <w:rFonts w:ascii="Arial" w:cs="Arial" w:eastAsia="Arial" w:hAnsi="Arial"/>
          <w:sz w:val="16"/>
          <w:szCs w:val="16"/>
          <w:b w:val="1"/>
          <w:bCs w:val="1"/>
          <w:color w:val="auto"/>
        </w:rPr>
        <w:t xml:space="preserve"> </w:t>
      </w:r>
      <w:r>
        <w:rPr>
          <w:rFonts w:ascii="Arial" w:cs="Arial" w:eastAsia="Arial" w:hAnsi="Arial"/>
          <w:sz w:val="16"/>
          <w:szCs w:val="16"/>
          <w:color w:val="auto"/>
        </w:rPr>
        <w:t>below:</w:t>
      </w:r>
    </w:p>
    <w:p>
      <w:pPr>
        <w:sectPr>
          <w:pgSz w:w="11900" w:h="16838" w:orient="portrait"/>
          <w:cols w:equalWidth="0" w:num="1">
            <w:col w:w="11240"/>
          </w:cols>
          <w:pgMar w:left="320" w:top="129"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left="70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37465</wp:posOffset>
            </wp:positionV>
            <wp:extent cx="13462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8" w:lineRule="exact"/>
        <w:rPr>
          <w:sz w:val="20"/>
          <w:szCs w:val="20"/>
          <w:color w:val="auto"/>
        </w:rPr>
      </w:pPr>
    </w:p>
    <w:p>
      <w:pPr>
        <w:ind w:left="7240"/>
        <w:spacing w:after="0"/>
        <w:tabs>
          <w:tab w:leader="none" w:pos="834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37465</wp:posOffset>
            </wp:positionV>
            <wp:extent cx="13462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8"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8" w:lineRule="exact"/>
        <w:rPr>
          <w:sz w:val="20"/>
          <w:szCs w:val="20"/>
          <w:color w:val="auto"/>
        </w:rPr>
      </w:pPr>
    </w:p>
    <w:p>
      <w:pPr>
        <w:sectPr>
          <w:pgSz w:w="11900" w:h="16838" w:orient="portrait"/>
          <w:cols w:equalWidth="0" w:num="2">
            <w:col w:w="8840" w:space="520"/>
            <w:col w:w="1880"/>
          </w:cols>
          <w:pgMar w:left="320" w:top="129"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6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unrealized gains (losses) on NDT funds</w:t>
            </w:r>
            <w:r>
              <w:rPr>
                <w:rFonts w:ascii="Arial" w:cs="Arial" w:eastAsia="Arial" w:hAnsi="Arial"/>
                <w:sz w:val="21"/>
                <w:szCs w:val="21"/>
                <w:color w:val="auto"/>
                <w:vertAlign w:val="superscript"/>
              </w:rPr>
              <w:t>(a)</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8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57"/>
        </w:trPr>
        <w:tc>
          <w:tcPr>
            <w:tcW w:w="6880" w:type="dxa"/>
            <w:vAlign w:val="bottom"/>
          </w:tcPr>
          <w:p>
            <w:pPr>
              <w:ind w:left="20"/>
              <w:spacing w:after="0"/>
              <w:rPr>
                <w:sz w:val="20"/>
                <w:szCs w:val="20"/>
                <w:color w:val="auto"/>
              </w:rPr>
            </w:pPr>
            <w:r>
              <w:rPr>
                <w:rFonts w:ascii="Arial" w:cs="Arial" w:eastAsia="Arial" w:hAnsi="Arial"/>
                <w:sz w:val="16"/>
                <w:szCs w:val="16"/>
                <w:color w:val="auto"/>
              </w:rPr>
              <w:t>Net realized gains (losses) on sale of NDT funds</w:t>
            </w:r>
            <w:r>
              <w:rPr>
                <w:rFonts w:ascii="Arial" w:cs="Arial" w:eastAsia="Arial" w:hAnsi="Arial"/>
                <w:sz w:val="21"/>
                <w:szCs w:val="21"/>
                <w:color w:val="auto"/>
                <w:vertAlign w:val="superscript"/>
              </w:rPr>
              <w:t>(a)</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dividend income on NDT funds</w:t>
            </w:r>
            <w:r>
              <w:rPr>
                <w:rFonts w:ascii="Arial" w:cs="Arial" w:eastAsia="Arial" w:hAnsi="Arial"/>
                <w:sz w:val="21"/>
                <w:szCs w:val="21"/>
                <w:color w:val="auto"/>
                <w:vertAlign w:val="superscript"/>
              </w:rPr>
              <w:t>(a)</w:t>
            </w: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57"/>
        </w:trPr>
        <w:tc>
          <w:tcPr>
            <w:tcW w:w="6880" w:type="dxa"/>
            <w:vAlign w:val="bottom"/>
          </w:tcPr>
          <w:p>
            <w:pPr>
              <w:ind w:left="20"/>
              <w:spacing w:after="0"/>
              <w:rPr>
                <w:sz w:val="20"/>
                <w:szCs w:val="20"/>
                <w:color w:val="auto"/>
              </w:rPr>
            </w:pPr>
            <w:r>
              <w:rPr>
                <w:rFonts w:ascii="Arial" w:cs="Arial" w:eastAsia="Arial" w:hAnsi="Arial"/>
                <w:sz w:val="16"/>
                <w:szCs w:val="16"/>
                <w:color w:val="auto"/>
              </w:rPr>
              <w:t>Contractual elimination of income tax expense</w:t>
            </w:r>
            <w:r>
              <w:rPr>
                <w:rFonts w:ascii="Arial" w:cs="Arial" w:eastAsia="Arial" w:hAnsi="Arial"/>
                <w:sz w:val="21"/>
                <w:szCs w:val="21"/>
                <w:color w:val="auto"/>
                <w:vertAlign w:val="superscript"/>
              </w:rPr>
              <w:t>(b)</w:t>
            </w: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4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Non-service net periodic benefit credit</w:t>
            </w:r>
            <w:r>
              <w:rPr>
                <w:rFonts w:ascii="Arial" w:cs="Arial" w:eastAsia="Arial" w:hAnsi="Arial"/>
                <w:sz w:val="21"/>
                <w:szCs w:val="21"/>
                <w:color w:val="auto"/>
                <w:vertAlign w:val="superscript"/>
              </w:rPr>
              <w:t>(c)</w:t>
            </w: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6880" w:type="dxa"/>
            <w:vAlign w:val="bottom"/>
          </w:tcPr>
          <w:p>
            <w:pPr>
              <w:ind w:left="20"/>
              <w:spacing w:after="0"/>
              <w:rPr>
                <w:sz w:val="20"/>
                <w:szCs w:val="20"/>
                <w:color w:val="auto"/>
              </w:rPr>
            </w:pPr>
            <w:r>
              <w:rPr>
                <w:rFonts w:ascii="Arial" w:cs="Arial" w:eastAsia="Arial" w:hAnsi="Arial"/>
                <w:sz w:val="16"/>
                <w:szCs w:val="16"/>
                <w:color w:val="auto"/>
              </w:rPr>
              <w:t>Net realized and unrealized gains (losses) from equity investments</w:t>
            </w:r>
            <w:r>
              <w:rPr>
                <w:rFonts w:ascii="Arial" w:cs="Arial" w:eastAsia="Arial" w:hAnsi="Arial"/>
                <w:sz w:val="21"/>
                <w:szCs w:val="21"/>
                <w:color w:val="auto"/>
                <w:vertAlign w:val="superscript"/>
              </w:rPr>
              <w:t>(d)</w:t>
            </w: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Return to provision adjustment</w:t>
            </w:r>
            <w:r>
              <w:rPr>
                <w:rFonts w:ascii="Arial" w:cs="Arial" w:eastAsia="Arial" w:hAnsi="Arial"/>
                <w:sz w:val="21"/>
                <w:szCs w:val="21"/>
                <w:color w:val="auto"/>
                <w:vertAlign w:val="superscript"/>
              </w:rPr>
              <w:t>(e)</w:t>
            </w: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6"/>
        </w:trPr>
        <w:tc>
          <w:tcPr>
            <w:tcW w:w="6880" w:type="dxa"/>
            <w:vAlign w:val="bottom"/>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63"/>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net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Unrealized gains, realized gains, and interest and dividend income on the NDT funds are associated with the Non-Regulatory Agreement Units.</w:t>
      </w:r>
    </w:p>
    <w:p>
      <w:pPr>
        <w:spacing w:after="0" w:line="16"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Contractual elimination of income tax expense is associated with the income taxes on the NDT funds of the Regulatory Agreement Units.</w:t>
      </w:r>
    </w:p>
    <w:p>
      <w:pPr>
        <w:spacing w:after="0" w:line="14" w:lineRule="exact"/>
        <w:rPr>
          <w:rFonts w:ascii="Arial" w:cs="Arial" w:eastAsia="Arial" w:hAnsi="Arial"/>
          <w:sz w:val="14"/>
          <w:szCs w:val="14"/>
          <w:color w:val="auto"/>
        </w:rPr>
      </w:pPr>
    </w:p>
    <w:p>
      <w:pPr>
        <w:jc w:val="both"/>
        <w:ind w:left="340" w:hanging="332"/>
        <w:spacing w:after="0" w:line="253"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Prior to separation, we were allocated our portion of pension and OPEB non-service credit (costs) from Exelon, which was included in Operating and maintenance expense. Effective February 1, 2022, the non-service credit (cost) components are included in Other, net, in accordance with single employer plan accounting. See Note 9</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Retirement Benefits of the Combined Notes to Consolidated Financial Statements for additional information.</w:t>
      </w:r>
    </w:p>
    <w:p>
      <w:pPr>
        <w:spacing w:after="0" w:line="11" w:lineRule="exact"/>
        <w:rPr>
          <w:rFonts w:ascii="Arial" w:cs="Arial" w:eastAsia="Arial" w:hAnsi="Arial"/>
          <w:sz w:val="14"/>
          <w:szCs w:val="14"/>
          <w:color w:val="auto"/>
        </w:rPr>
      </w:pPr>
    </w:p>
    <w:p>
      <w:pPr>
        <w:jc w:val="both"/>
        <w:ind w:left="340" w:hanging="332"/>
        <w:spacing w:after="0" w:line="256"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2023, includes an unrealized gain resulting from an investment that became a publicly traded company in the second quarter of 2023, and was fair valued based on quoted market price of the stock as of June 30, 2023. See Note 12 — Fair Value of Financial Assets and Liabilities of the Combined Notes to Consolidated Financial Statements for additional information.</w:t>
      </w:r>
    </w:p>
    <w:p>
      <w:pPr>
        <w:spacing w:after="0" w:line="1" w:lineRule="exact"/>
        <w:rPr>
          <w:rFonts w:ascii="Arial" w:cs="Arial" w:eastAsia="Arial" w:hAnsi="Arial"/>
          <w:sz w:val="14"/>
          <w:szCs w:val="14"/>
          <w:color w:val="auto"/>
        </w:rPr>
      </w:pPr>
    </w:p>
    <w:p>
      <w:pPr>
        <w:ind w:left="340" w:hanging="332"/>
        <w:spacing w:after="0" w:line="278"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2022, this reflects amounts contractually owed to Exelon under the tax matters agreement, which is offset in Income taxes. See Note 8 — Income Taxes of the Combined Notes to Consolidated Financial Statements.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Effective income tax rates </w:t>
      </w:r>
      <w:r>
        <w:rPr>
          <w:rFonts w:ascii="Arial" w:cs="Arial" w:eastAsia="Arial" w:hAnsi="Arial"/>
          <w:sz w:val="16"/>
          <w:szCs w:val="16"/>
          <w:color w:val="auto"/>
        </w:rPr>
        <w:t>were 29.2% and 74.9% for the three months ended June 30, 2023 and 2022, respectively, and 33.5% and 101.1% for the six</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June 30, 2023 and 2022, respectively. We do not expect the effective tax rate to deviate from the statutory tax rate with the exception of realized and unrealized gains and losses of the nuclear decommissioning trust funds. In 2022, the rate was also impacted by one-time adjustments</w:t>
      </w:r>
      <w:r>
        <w:rPr>
          <w:rFonts w:ascii="Arial" w:cs="Arial" w:eastAsia="Arial" w:hAnsi="Arial"/>
          <w:sz w:val="19"/>
          <w:szCs w:val="19"/>
          <w:color w:val="auto"/>
        </w:rPr>
        <w:t>.</w:t>
      </w:r>
      <w:r>
        <w:rPr>
          <w:rFonts w:ascii="Arial" w:cs="Arial" w:eastAsia="Arial" w:hAnsi="Arial"/>
          <w:sz w:val="16"/>
          <w:szCs w:val="16"/>
          <w:color w:val="auto"/>
        </w:rPr>
        <w:t xml:space="preserve"> See Note 8 — Income Taxes of the Combined Notes to Consolidated Financial Statements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All results included throughout the liquidity and capital resources section are presented on a GAAP basis.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operating and capital expenditures requirements are provided by internally generated cash flows from operations, the sale of certain receivables, as well as funds from external sources in the capital markets and through bank borrowings. Our business is capital intensive and requires considerable capital resources. We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annually evaluate our financing plan and credit line sizing, focusing on maintaining our investment grade ratings while meeting our cash needs to fund capital requirements, including construction expenditures, retire debt, pay dividends, fund pension and OPEB obligations, and invest in new and existing ventures. A broad spectrum of financing alternatives beyond the core financing options can be used to meet our needs and fund growth, including monetizing assets in the portfolio via project financing, asset sales, and the use of other financing structures (e.g., joint ventures, minority partners, etc.). Our access to external financing on reasonable terms depends on our credit ratings and current overall capital market business conditions. If these conditions deteriorate to the extent that we no longer have access to the capital markets at reasonable terms, we have access to credit facilities with aggregate bank commitments of $5.9 billion. We utilize our credit facilities to support our commercial paper programs, provide for other short-term borrowings and to issue letters of credit. See the “Credit Matters and Cash Requirements” section below for additional information. We expect cash flows to be sufficient to meet operating expenses, financing costs, and capital expenditure requirements. See Note 11 — Debt and Credit Agreements of the Combined Notes to Consolidated Financial Statements for additional information on our debt and credit agreements.</w:t>
      </w:r>
    </w:p>
    <w:p>
      <w:pPr>
        <w:spacing w:after="0" w:line="13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Separation Agreement between us and Exelon, we received a cash payment of $1.75 billion from Exelon on January 31, 2022. See Note 1 — Basis of Presentation of the Combined Notes to Consolidated Financial Statements for additional information on the separation.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NRC Minimum Funding Requirements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NRC regulations require that licensees of nuclear generating facilities demonstrate reasonable assurance that sufficient funds will be available in certain minimum amounts for radiological decommissioning of the facility. These NRC minimum funding levels are typically based upon the assumption that decommissioning activities will commence after the end of the current licensed life of each unit. If a unit fails the NRC minimum funding test, then the plant’s owners or parent companies would be required to take steps, such as providing financial guarantees through surety bonds, letters of credit, or parent company guarantees or making additional cash contributions to the NDT fund to ensure sufficient funds are available. See Note 7 — Nuclear Decommissioning of the Combined Notes to Consolidated Financial Statements for additional information regarding the latest funding status report filed with the NRC.</w:t>
      </w:r>
    </w:p>
    <w:p>
      <w:pPr>
        <w:spacing w:after="0" w:line="33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of June 30, 2023, the TMI Unit 1 NDT is fully funded under the SAFSTOR scenario that is the planned decommissioning option, as described in the TMI Unit 1 PSDAR filed with the NRC on April 5, 2019. See Liquidity and Capital Resources — NRC Minimum Funding Requirements of our 2022 Form 10-K for information regarding the risk of additional financial assurance for shutdown units.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cash flows from operating activities primarily result from the sale of electric energy and energy-related products and sustainable solutions to customers. Our future cash flows from operating activities may be affected by future demand for, and market prices of, energy and our ability to continue to produce and supply power at competitive costs, as well as to obtain collections from customers and the sale of certain receivables.</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See Note 3 — Regulatory Matters and Note 13 — Commitments and Contingencies of the Combined Notes to Consolidated Financial Statements for additional information on regulatory and legal proceedings and proposed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change in cash flows from operating activities for the six months ended June 30,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Six Months Ended June 30,</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52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743"/>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ind w:right="72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jc w:val="right"/>
              <w:ind w:right="66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cash:</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Collateral (posted) received, net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65"/>
        </w:trPr>
        <w:tc>
          <w:tcPr>
            <w:tcW w:w="5220" w:type="dxa"/>
            <w:vAlign w:val="bottom"/>
          </w:tcPr>
          <w:p>
            <w:pPr>
              <w:ind w:left="220"/>
              <w:spacing w:after="0" w:line="165" w:lineRule="exact"/>
              <w:rPr>
                <w:sz w:val="20"/>
                <w:szCs w:val="20"/>
                <w:color w:val="auto"/>
              </w:rPr>
            </w:pPr>
            <w:r>
              <w:rPr>
                <w:rFonts w:ascii="Arial" w:cs="Arial" w:eastAsia="Arial" w:hAnsi="Arial"/>
                <w:sz w:val="16"/>
                <w:szCs w:val="16"/>
                <w:color w:val="auto"/>
              </w:rPr>
              <w:t>Changes in working capital and other noncurrent assets and</w:t>
            </w:r>
          </w:p>
        </w:tc>
        <w:tc>
          <w:tcPr>
            <w:tcW w:w="4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(2,594)</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line="213" w:lineRule="exact"/>
              <w:rPr>
                <w:sz w:val="20"/>
                <w:szCs w:val="20"/>
                <w:color w:val="auto"/>
              </w:rPr>
            </w:pPr>
            <w:r>
              <w:rPr>
                <w:rFonts w:ascii="Arial" w:cs="Arial" w:eastAsia="Arial" w:hAnsi="Arial"/>
                <w:sz w:val="16"/>
                <w:szCs w:val="16"/>
                <w:color w:val="auto"/>
              </w:rPr>
              <w:t>liabilities</w:t>
            </w:r>
            <w:r>
              <w:rPr>
                <w:rFonts w:ascii="Arial" w:cs="Arial" w:eastAsia="Arial" w:hAnsi="Arial"/>
                <w:sz w:val="21"/>
                <w:szCs w:val="21"/>
                <w:color w:val="auto"/>
                <w:vertAlign w:val="superscript"/>
              </w:rPr>
              <w:t>(a)</w:t>
            </w:r>
          </w:p>
        </w:tc>
        <w:tc>
          <w:tcPr>
            <w:tcW w:w="4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Option premiums paid, net</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5220" w:type="dxa"/>
            <w:vAlign w:val="bottom"/>
          </w:tcPr>
          <w:p>
            <w:pPr>
              <w:ind w:left="220"/>
              <w:spacing w:after="0"/>
              <w:rPr>
                <w:sz w:val="20"/>
                <w:szCs w:val="20"/>
                <w:color w:val="auto"/>
              </w:rPr>
            </w:pPr>
            <w:r>
              <w:rPr>
                <w:rFonts w:ascii="Arial" w:cs="Arial" w:eastAsia="Arial" w:hAnsi="Arial"/>
                <w:sz w:val="16"/>
                <w:szCs w:val="16"/>
                <w:color w:val="auto"/>
              </w:rPr>
              <w:t>Pension and non-pension postretirement benefit contributions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Total non-cash operating activities</w:t>
            </w:r>
            <w:r>
              <w:rPr>
                <w:rFonts w:ascii="Arial" w:cs="Arial" w:eastAsia="Arial" w:hAnsi="Arial"/>
                <w:sz w:val="21"/>
                <w:szCs w:val="21"/>
                <w:color w:val="auto"/>
                <w:vertAlign w:val="superscript"/>
              </w:rPr>
              <w:t>(b)</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4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(1,126)</w:t>
            </w:r>
          </w:p>
        </w:tc>
        <w:tc>
          <w:tcPr>
            <w:tcW w:w="9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1,263</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(2,389)</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340" w:hanging="332"/>
        <w:spacing w:after="0" w:line="266"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changes in Accounts receivable, Receivables from and payables to affiliates, Inventories, Accounts payable and accrued expenses, Income taxes, and Other assets and liabilities.</w:t>
      </w:r>
    </w:p>
    <w:p>
      <w:pPr>
        <w:jc w:val="both"/>
        <w:ind w:left="340" w:hanging="332"/>
        <w:spacing w:after="0" w:line="262"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the Consolidated Statements of Cash Flows for details of non-cash operating activities, includes Depreciation, amortization, and accretion, Gain on sales of assets and businesses, Deferred income taxes and amortization of ITCs, Net fair value changes related to derivatives, and Net realized and unrealized activity associated with NDTs and equity investments. See Note 16 — Supplemental Financial Information of the Combined Notes to Consolidated Financial Statements for additional information on the Other non-cash operating activities line.</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Changes in our cash flows from operations were generally consistent with changes in results of operations, as adjusted by changes in working capital in the normal course of business, except as discussed below. In addition, significant operating cash flow impacts for the six months ended June 30, 2023 and 2022 were as follows:</w:t>
      </w:r>
    </w:p>
    <w:p>
      <w:pPr>
        <w:spacing w:after="0" w:line="114" w:lineRule="exact"/>
        <w:rPr>
          <w:sz w:val="20"/>
          <w:szCs w:val="20"/>
          <w:color w:val="auto"/>
        </w:rPr>
      </w:pPr>
    </w:p>
    <w:p>
      <w:pPr>
        <w:jc w:val="both"/>
        <w:ind w:left="780" w:hanging="318"/>
        <w:spacing w:after="0" w:line="271"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Depending upon whether we are in a net mark-to-market liability or asset position, </w:t>
      </w:r>
      <w:r>
        <w:rPr>
          <w:rFonts w:ascii="Arial" w:cs="Arial" w:eastAsia="Arial" w:hAnsi="Arial"/>
          <w:sz w:val="16"/>
          <w:szCs w:val="16"/>
          <w:b w:val="1"/>
          <w:bCs w:val="1"/>
          <w:color w:val="auto"/>
        </w:rPr>
        <w:t>collateral</w:t>
      </w:r>
      <w:r>
        <w:rPr>
          <w:rFonts w:ascii="Arial" w:cs="Arial" w:eastAsia="Arial" w:hAnsi="Arial"/>
          <w:sz w:val="16"/>
          <w:szCs w:val="16"/>
          <w:color w:val="auto"/>
        </w:rPr>
        <w:t xml:space="preserve"> may be required to be posted with or collected from our counterparties. In addition, the collateral posting and collection requirements differ depending on whether the transactions are on an exchange or in the over-the-counter markets. See Note 10 — Derivative Financial Instruments of the Combined Notes to Consolidated Financial Statements for additional information on collateral.</w:t>
      </w:r>
    </w:p>
    <w:p>
      <w:pPr>
        <w:spacing w:after="0" w:line="121" w:lineRule="exact"/>
        <w:rPr>
          <w:rFonts w:ascii="Arial" w:cs="Arial" w:eastAsia="Arial" w:hAnsi="Arial"/>
          <w:sz w:val="16"/>
          <w:szCs w:val="16"/>
          <w:color w:val="auto"/>
        </w:rPr>
      </w:pPr>
    </w:p>
    <w:p>
      <w:pPr>
        <w:jc w:val="both"/>
        <w:ind w:left="780" w:hanging="318"/>
        <w:spacing w:after="0" w:line="262"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 increase in cash outflows for changes in working capital and other noncurrent assets and liabilities primarily relates to a decrease in Accounts payable and accrued expenses, partially offset by a decrease in Accounts receivable for the six months ended June 30, 2023, primarily driven by higher prices and volumes at year end including the impact of the December 2022 weather event. Additionally, there was a decrease in Other assets and liabilities, primarily driven by an increase in cash collections applied to DPP due to a decrease in the drawn Facility balance in 2023 compared to 2022.</w:t>
      </w:r>
    </w:p>
    <w:p>
      <w:pPr>
        <w:spacing w:after="0" w:line="121" w:lineRule="exact"/>
        <w:rPr>
          <w:rFonts w:ascii="Arial" w:cs="Arial" w:eastAsia="Arial" w:hAnsi="Arial"/>
          <w:sz w:val="16"/>
          <w:szCs w:val="16"/>
          <w:color w:val="auto"/>
        </w:rPr>
      </w:pPr>
    </w:p>
    <w:p>
      <w:pPr>
        <w:jc w:val="both"/>
        <w:ind w:left="780" w:hanging="318"/>
        <w:spacing w:after="0" w:line="275"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 xml:space="preserve">Option premiums paid, net </w:t>
      </w:r>
      <w:r>
        <w:rPr>
          <w:rFonts w:ascii="Arial" w:cs="Arial" w:eastAsia="Arial" w:hAnsi="Arial"/>
          <w:sz w:val="16"/>
          <w:szCs w:val="16"/>
          <w:color w:val="auto"/>
        </w:rPr>
        <w:t>relates to options contracts that we purchase and sell as part of our established policies and procedures to manage</w:t>
      </w:r>
      <w:r>
        <w:rPr>
          <w:rFonts w:ascii="Arial" w:cs="Arial" w:eastAsia="Arial" w:hAnsi="Arial"/>
          <w:sz w:val="16"/>
          <w:szCs w:val="16"/>
          <w:b w:val="1"/>
          <w:bCs w:val="1"/>
          <w:color w:val="auto"/>
        </w:rPr>
        <w:t xml:space="preserve"> </w:t>
      </w:r>
      <w:r>
        <w:rPr>
          <w:rFonts w:ascii="Arial" w:cs="Arial" w:eastAsia="Arial" w:hAnsi="Arial"/>
          <w:sz w:val="16"/>
          <w:szCs w:val="16"/>
          <w:color w:val="auto"/>
        </w:rPr>
        <w:t>risks associated with market fluctuations in commodity prices. See Note 10 — Derivative Financial Instruments of the Combined Notes to Consolidated Financial Statements for additional information on derivative contracts.</w:t>
      </w:r>
    </w:p>
    <w:p>
      <w:pPr>
        <w:spacing w:after="0" w:line="110" w:lineRule="exact"/>
        <w:rPr>
          <w:rFonts w:ascii="Arial" w:cs="Arial" w:eastAsia="Arial" w:hAnsi="Arial"/>
          <w:sz w:val="16"/>
          <w:szCs w:val="16"/>
          <w:color w:val="auto"/>
        </w:rPr>
      </w:pPr>
    </w:p>
    <w:p>
      <w:pPr>
        <w:jc w:val="both"/>
        <w:ind w:left="780" w:hanging="318"/>
        <w:spacing w:after="0" w:line="275"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Decrease in cash outflows for </w:t>
      </w:r>
      <w:r>
        <w:rPr>
          <w:rFonts w:ascii="Arial" w:cs="Arial" w:eastAsia="Arial" w:hAnsi="Arial"/>
          <w:sz w:val="16"/>
          <w:szCs w:val="16"/>
          <w:b w:val="1"/>
          <w:bCs w:val="1"/>
          <w:color w:val="auto"/>
        </w:rPr>
        <w:t>pension and non-pension postretirement benefit contributions</w:t>
      </w:r>
      <w:r>
        <w:rPr>
          <w:rFonts w:ascii="Arial" w:cs="Arial" w:eastAsia="Arial" w:hAnsi="Arial"/>
          <w:sz w:val="16"/>
          <w:szCs w:val="16"/>
          <w:color w:val="auto"/>
        </w:rPr>
        <w:t xml:space="preserve"> is primarily due to our annual qualified pension contribution of $192 million made in February 2022. See Note 9 — Retirement Benefits of the Combined Notes to Consolidated Financial Statements for additional information on pension and non-pension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change in cash flows from investing activities for the six months ended June 30,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8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Six Months Ended June 30,</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2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744"/>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ind w:right="722"/>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jc w:val="right"/>
              <w:ind w:right="662"/>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Proceeds from sales of assets and businesses</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 of DPP, net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Investment in NDT funds, net</w:t>
            </w: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52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171</w:t>
            </w:r>
          </w:p>
        </w:tc>
        <w:tc>
          <w:tcPr>
            <w:tcW w:w="92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701</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Significant investing cash flow impact for the six months ended June 30, 2023 and 2022 was as follows:</w:t>
      </w:r>
    </w:p>
    <w:p>
      <w:pPr>
        <w:spacing w:after="0" w:line="173" w:lineRule="exact"/>
        <w:rPr>
          <w:sz w:val="20"/>
          <w:szCs w:val="20"/>
          <w:color w:val="auto"/>
        </w:rPr>
      </w:pPr>
    </w:p>
    <w:p>
      <w:pPr>
        <w:jc w:val="both"/>
        <w:ind w:left="820" w:hanging="326"/>
        <w:spacing w:after="0" w:line="287" w:lineRule="auto"/>
        <w:tabs>
          <w:tab w:leader="none" w:pos="8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Increase in </w:t>
      </w:r>
      <w:r>
        <w:rPr>
          <w:rFonts w:ascii="Arial" w:cs="Arial" w:eastAsia="Arial" w:hAnsi="Arial"/>
          <w:sz w:val="16"/>
          <w:szCs w:val="16"/>
          <w:b w:val="1"/>
          <w:bCs w:val="1"/>
          <w:color w:val="auto"/>
        </w:rPr>
        <w:t>capital expenditures</w:t>
      </w:r>
      <w:r>
        <w:rPr>
          <w:rFonts w:ascii="Arial" w:cs="Arial" w:eastAsia="Arial" w:hAnsi="Arial"/>
          <w:sz w:val="16"/>
          <w:szCs w:val="16"/>
          <w:color w:val="auto"/>
        </w:rPr>
        <w:t xml:space="preserve"> are primarily due to the timing of cash expenditures for capital projects. See Liquidity and Capital Resources — Credit Matters and Cash Requirements of our 2022 Form 10-K for information for additional information on projected capital expenditure spending.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change in cash flows from financing activities for the six months ended June 30, 2023 and 2022:</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20" w:type="dxa"/>
            <w:vAlign w:val="bottom"/>
            <w:gridSpan w:val="4"/>
          </w:tcPr>
          <w:p>
            <w:pPr>
              <w:jc w:val="center"/>
              <w:ind w:right="321"/>
              <w:spacing w:after="0"/>
              <w:rPr>
                <w:sz w:val="20"/>
                <w:szCs w:val="20"/>
                <w:color w:val="auto"/>
              </w:rPr>
            </w:pPr>
            <w:r>
              <w:rPr>
                <w:rFonts w:ascii="Arial" w:cs="Arial" w:eastAsia="Arial" w:hAnsi="Arial"/>
                <w:sz w:val="13"/>
                <w:szCs w:val="13"/>
                <w:b w:val="1"/>
                <w:bCs w:val="1"/>
                <w:color w:val="auto"/>
                <w:w w:val="97"/>
              </w:rPr>
              <w:t>Six Months Ended June 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52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0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jc w:val="right"/>
              <w:ind w:right="74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jc w:val="right"/>
              <w:ind w:right="66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Changes in short-term borrowings, net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on common stock</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Contributions from Exelon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Significant financing cash flow impacts for the six months ended June 30, 2023 and 2022 were as follows:</w:t>
      </w:r>
    </w:p>
    <w:p>
      <w:pPr>
        <w:spacing w:after="0" w:line="173" w:lineRule="exact"/>
        <w:rPr>
          <w:sz w:val="20"/>
          <w:szCs w:val="20"/>
          <w:color w:val="auto"/>
        </w:rPr>
      </w:pPr>
    </w:p>
    <w:p>
      <w:pPr>
        <w:ind w:left="820" w:hanging="326"/>
        <w:spacing w:after="0" w:line="286"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Long-term debt, net, </w:t>
      </w:r>
      <w:r>
        <w:rPr>
          <w:rFonts w:ascii="Arial" w:cs="Arial" w:eastAsia="Arial" w:hAnsi="Arial"/>
          <w:sz w:val="16"/>
          <w:szCs w:val="16"/>
          <w:color w:val="auto"/>
        </w:rPr>
        <w:t>varies due to debt issuances and redemptions each year. Refer to Note 11 — Debt and Credit Agreements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Combined Notes to Consolidated Financial Statements for additional information.</w:t>
      </w:r>
    </w:p>
    <w:p>
      <w:pPr>
        <w:spacing w:after="0" w:line="115" w:lineRule="exact"/>
        <w:rPr>
          <w:rFonts w:ascii="Arial" w:cs="Arial" w:eastAsia="Arial" w:hAnsi="Arial"/>
          <w:sz w:val="16"/>
          <w:szCs w:val="16"/>
          <w:color w:val="auto"/>
        </w:rPr>
      </w:pPr>
    </w:p>
    <w:p>
      <w:pPr>
        <w:ind w:left="820" w:hanging="326"/>
        <w:spacing w:after="0"/>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Changes in short-term borrowings, net</w:t>
      </w:r>
      <w:r>
        <w:rPr>
          <w:rFonts w:ascii="Arial" w:cs="Arial" w:eastAsia="Arial" w:hAnsi="Arial"/>
          <w:sz w:val="16"/>
          <w:szCs w:val="16"/>
          <w:color w:val="auto"/>
        </w:rPr>
        <w:t>, is driven by repayments on and issuances of notes due within one year of issuance. Refer to Note 11</w:t>
      </w:r>
    </w:p>
    <w:p>
      <w:pPr>
        <w:spacing w:after="0" w:line="25"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 Debt and Credit Agreements of the Combined Notes to Consolidated Financial Statements for additional information on short-term borrowings.</w:t>
      </w:r>
    </w:p>
    <w:p>
      <w:pPr>
        <w:spacing w:after="0" w:line="155" w:lineRule="exact"/>
        <w:rPr>
          <w:rFonts w:ascii="Arial" w:cs="Arial" w:eastAsia="Arial" w:hAnsi="Arial"/>
          <w:sz w:val="16"/>
          <w:szCs w:val="16"/>
          <w:color w:val="auto"/>
        </w:rPr>
      </w:pPr>
    </w:p>
    <w:p>
      <w:pPr>
        <w:ind w:left="820" w:hanging="326"/>
        <w:spacing w:after="0" w:line="309"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Refer to ITEM 5 — MARKET FOR REGISTRANT'S COMMON EQUITY, RELATED STOCKHOLDER MATTERS AND ISSUER PURCHASES OF EQUITY SECURITIES in our 2022 Form 10-K for further information on dividend restrictions. See below for quarterly </w:t>
      </w:r>
      <w:r>
        <w:rPr>
          <w:rFonts w:ascii="Arial" w:cs="Arial" w:eastAsia="Arial" w:hAnsi="Arial"/>
          <w:sz w:val="16"/>
          <w:szCs w:val="16"/>
          <w:b w:val="1"/>
          <w:bCs w:val="1"/>
          <w:color w:val="auto"/>
        </w:rPr>
        <w:t>dividends</w:t>
      </w:r>
      <w:r>
        <w:rPr>
          <w:rFonts w:ascii="Arial" w:cs="Arial" w:eastAsia="Arial" w:hAnsi="Arial"/>
          <w:sz w:val="16"/>
          <w:szCs w:val="16"/>
          <w:color w:val="auto"/>
        </w:rPr>
        <w:t xml:space="preserve"> declared.</w:t>
      </w:r>
    </w:p>
    <w:p>
      <w:pPr>
        <w:spacing w:after="0" w:line="71" w:lineRule="exact"/>
        <w:rPr>
          <w:rFonts w:ascii="Arial" w:cs="Arial" w:eastAsia="Arial" w:hAnsi="Arial"/>
          <w:sz w:val="16"/>
          <w:szCs w:val="16"/>
          <w:color w:val="auto"/>
        </w:rPr>
      </w:pPr>
    </w:p>
    <w:p>
      <w:pPr>
        <w:ind w:left="820" w:hanging="326"/>
        <w:spacing w:after="0" w:line="304"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Repurchases of common stock </w:t>
      </w:r>
      <w:r>
        <w:rPr>
          <w:rFonts w:ascii="Arial" w:cs="Arial" w:eastAsia="Arial" w:hAnsi="Arial"/>
          <w:sz w:val="16"/>
          <w:szCs w:val="16"/>
          <w:color w:val="auto"/>
        </w:rPr>
        <w:t>is related to our share repurchase program that commenced in March 2023. See Note 14 —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Equity of the Combined Notes to Consolidated Financial Statements for additional information.</w:t>
      </w:r>
    </w:p>
    <w:p>
      <w:pPr>
        <w:spacing w:after="0" w:line="87" w:lineRule="exact"/>
        <w:rPr>
          <w:rFonts w:ascii="Arial" w:cs="Arial" w:eastAsia="Arial" w:hAnsi="Arial"/>
          <w:sz w:val="16"/>
          <w:szCs w:val="16"/>
          <w:color w:val="auto"/>
        </w:rPr>
      </w:pPr>
    </w:p>
    <w:p>
      <w:pPr>
        <w:jc w:val="both"/>
        <w:ind w:left="820" w:hanging="326"/>
        <w:spacing w:after="0" w:line="275" w:lineRule="auto"/>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Contribution from Exelon </w:t>
      </w:r>
      <w:r>
        <w:rPr>
          <w:rFonts w:ascii="Arial" w:cs="Arial" w:eastAsia="Arial" w:hAnsi="Arial"/>
          <w:sz w:val="16"/>
          <w:szCs w:val="16"/>
          <w:color w:val="auto"/>
        </w:rPr>
        <w:t>is related to a cash contribution of $1.75 billion from Exelon on January 31, 2022, pursuant to the Separation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See Note 1 — Basis of Presentation of the Combined Notes to Consolidated Financial Statements for additional information on the separation.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Quarterly dividends declared by our Board of Directors during the six months ended June 30, 2023 and for the third quarter of 2023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ind w:left="1060"/>
              <w:spacing w:after="0"/>
              <w:rPr>
                <w:sz w:val="20"/>
                <w:szCs w:val="20"/>
                <w:color w:val="auto"/>
              </w:rPr>
            </w:pPr>
            <w:r>
              <w:rPr>
                <w:rFonts w:ascii="Arial" w:cs="Arial" w:eastAsia="Arial" w:hAnsi="Arial"/>
                <w:sz w:val="13"/>
                <w:szCs w:val="13"/>
                <w:b w:val="1"/>
                <w:bCs w:val="1"/>
                <w:color w:val="auto"/>
              </w:rPr>
              <w:t>Period</w:t>
            </w:r>
          </w:p>
        </w:tc>
        <w:tc>
          <w:tcPr>
            <w:tcW w:w="120" w:type="dxa"/>
            <w:vAlign w:val="bottom"/>
          </w:tcPr>
          <w:p>
            <w:pPr>
              <w:spacing w:after="0"/>
              <w:rPr>
                <w:sz w:val="15"/>
                <w:szCs w:val="15"/>
                <w:color w:val="auto"/>
              </w:rPr>
            </w:pPr>
          </w:p>
        </w:tc>
        <w:tc>
          <w:tcPr>
            <w:tcW w:w="1960" w:type="dxa"/>
            <w:vAlign w:val="bottom"/>
          </w:tcPr>
          <w:p>
            <w:pPr>
              <w:jc w:val="right"/>
              <w:ind w:right="404"/>
              <w:spacing w:after="0"/>
              <w:rPr>
                <w:sz w:val="20"/>
                <w:szCs w:val="20"/>
                <w:color w:val="auto"/>
              </w:rPr>
            </w:pPr>
            <w:r>
              <w:rPr>
                <w:rFonts w:ascii="Arial" w:cs="Arial" w:eastAsia="Arial" w:hAnsi="Arial"/>
                <w:sz w:val="13"/>
                <w:szCs w:val="13"/>
                <w:b w:val="1"/>
                <w:bCs w:val="1"/>
                <w:color w:val="auto"/>
              </w:rPr>
              <w:t>Declaration Date</w:t>
            </w:r>
          </w:p>
        </w:tc>
        <w:tc>
          <w:tcPr>
            <w:tcW w:w="120" w:type="dxa"/>
            <w:vAlign w:val="bottom"/>
          </w:tcPr>
          <w:p>
            <w:pPr>
              <w:spacing w:after="0"/>
              <w:rPr>
                <w:sz w:val="15"/>
                <w:szCs w:val="15"/>
                <w:color w:val="auto"/>
              </w:rPr>
            </w:pPr>
          </w:p>
        </w:tc>
        <w:tc>
          <w:tcPr>
            <w:tcW w:w="244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rPr>
              <w:t>Shareholder of Record Date</w:t>
            </w:r>
          </w:p>
        </w:tc>
        <w:tc>
          <w:tcPr>
            <w:tcW w:w="120" w:type="dxa"/>
            <w:vAlign w:val="bottom"/>
          </w:tcPr>
          <w:p>
            <w:pPr>
              <w:spacing w:after="0"/>
              <w:rPr>
                <w:sz w:val="15"/>
                <w:szCs w:val="15"/>
                <w:color w:val="auto"/>
              </w:rPr>
            </w:pPr>
          </w:p>
        </w:tc>
        <w:tc>
          <w:tcPr>
            <w:tcW w:w="2240" w:type="dxa"/>
            <w:vAlign w:val="bottom"/>
          </w:tcPr>
          <w:p>
            <w:pPr>
              <w:jc w:val="right"/>
              <w:ind w:right="364"/>
              <w:spacing w:after="0"/>
              <w:rPr>
                <w:sz w:val="20"/>
                <w:szCs w:val="20"/>
                <w:color w:val="auto"/>
              </w:rPr>
            </w:pPr>
            <w:r>
              <w:rPr>
                <w:rFonts w:ascii="Arial" w:cs="Arial" w:eastAsia="Arial" w:hAnsi="Arial"/>
                <w:sz w:val="13"/>
                <w:szCs w:val="13"/>
                <w:b w:val="1"/>
                <w:bCs w:val="1"/>
                <w:color w:val="auto"/>
              </w:rPr>
              <w:t>Dividend Payable Date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264"/>
              <w:spacing w:after="0"/>
              <w:rPr>
                <w:sz w:val="20"/>
                <w:szCs w:val="20"/>
                <w:color w:val="auto"/>
              </w:rPr>
            </w:pPr>
            <w:r>
              <w:rPr>
                <w:rFonts w:ascii="Arial" w:cs="Arial" w:eastAsia="Arial" w:hAnsi="Arial"/>
                <w:sz w:val="13"/>
                <w:szCs w:val="13"/>
                <w:b w:val="1"/>
                <w:bCs w:val="1"/>
                <w:color w:val="auto"/>
              </w:rPr>
              <w:t>Cash per Share</w:t>
            </w:r>
          </w:p>
        </w:tc>
      </w:tr>
      <w:tr>
        <w:trPr>
          <w:trHeight w:val="22"/>
        </w:trPr>
        <w:tc>
          <w:tcPr>
            <w:tcW w:w="2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Quarter of 2023</w:t>
            </w: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15, 2023</w:t>
            </w:r>
          </w:p>
        </w:tc>
        <w:tc>
          <w:tcPr>
            <w:tcW w:w="12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February 27, 2023</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10, 2023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0.282</w:t>
            </w:r>
          </w:p>
        </w:tc>
      </w:tr>
      <w:tr>
        <w:trPr>
          <w:trHeight w:val="247"/>
        </w:trPr>
        <w:tc>
          <w:tcPr>
            <w:tcW w:w="2500" w:type="dxa"/>
            <w:vAlign w:val="bottom"/>
          </w:tcPr>
          <w:p>
            <w:pPr>
              <w:ind w:left="20"/>
              <w:spacing w:after="0"/>
              <w:rPr>
                <w:sz w:val="20"/>
                <w:szCs w:val="20"/>
                <w:color w:val="auto"/>
              </w:rPr>
            </w:pPr>
            <w:r>
              <w:rPr>
                <w:rFonts w:ascii="Arial" w:cs="Arial" w:eastAsia="Arial" w:hAnsi="Arial"/>
                <w:sz w:val="16"/>
                <w:szCs w:val="16"/>
                <w:color w:val="auto"/>
              </w:rPr>
              <w:t>Second Quarter of 2023</w:t>
            </w: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April 25, 2023</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May 12,</w:t>
            </w:r>
          </w:p>
        </w:tc>
        <w:tc>
          <w:tcPr>
            <w:tcW w:w="400" w:type="dxa"/>
            <w:vAlign w:val="bottom"/>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June 9, 2023</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0.282</w:t>
            </w:r>
          </w:p>
        </w:tc>
      </w:tr>
      <w:tr>
        <w:trPr>
          <w:trHeight w:val="253"/>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 of 2023</w:t>
            </w:r>
          </w:p>
        </w:tc>
        <w:tc>
          <w:tcPr>
            <w:tcW w:w="12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 2023</w:t>
            </w: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14,</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8, 2023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0.282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Matters and Cash Requirements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fund liquidity needs for capital expenditures, working capital, energy hedging and other financial commitments through cash flows from operations, public debt offerings, commercial paper markets and large, diversified credit facilities. As of June 30, 2023, we have access to facilities with aggregate bank commitments of $5.9 billion. We had access to the commercial paper markets and had availability under our revolving credit facilities during the third quarter of 2023 to fund our short-term liquidity needs, when necessary. We routinely review the sufficiency of our liquidity position, including appropriate sizing of credit facility commitments, by performing various stress test scenarios, such as commodity price movements, increases in margin-related transactions, changes in hedging levels, and the impacts of hypothetical credit downgrades. We closely monitor events in the financial markets and the financial institutions associated with the credit facilities, including monitoring credit ratings and outlooks, credit default swap levels, capital raising, and merger activity. See PART I, ITEM 1A. RISK FACTORS of our 2022 Form 10-K for additional information regarding the effects of uncertainty in the capital and credit markets.</w:t>
      </w:r>
    </w:p>
    <w:p>
      <w:pPr>
        <w:spacing w:after="0" w:line="3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our cash flow from operating activities, access to credit markets and our credit facilities provide sufficient liquidity to support the estimated future cash requirements discussed below.</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we had lost our investment grade credit rating as of June 30, 2023, we would have been required to provide incremental collateral estimated to be approximately $2.2 billion to meet collateral obligations for derivatives, non-derivatives, NPNS, and applicable payables and receivables, net of the contractual right of offset under master netting agreements. A loss of investment grade credit rating would have required a significant reduction in credit ratings from their current levels of BBB and Baa2 at S&amp;P and Moody's, respectively, to BB+ and Ba1 or below. As of June 30, 2023, we had $3.7 billion of available capacity and $0.3 billion of cash on hand. In the event of a credit downgrade below investment grade and a resulting requirement to provide incremental collateral exceeding our available capacity and cash on hand, we could be required to access additional liquidity through the capital markets. See Note 10 — Derivative Financial Instruments and Note 11 — Debt and Credit Agreements of the Combined Notes to Consolidated Financial Statements for additional information.</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Pension and Other Postretirement Benefits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consider various factors when making pension funding decisions, including actuarially-determined minimum contribution requirements under ERISA, contributions required to avoid benefit restrictions and at-risk status as defined by the Pension Protection Act of 2006 (Pension Protection Act), and management of the pension obligation. The Pension Protection Act requires the attainment of certain funding levels to avoid benefit restrictions (such as an inability to pay lump sums or to accrue benefits prospectively), and at-risk status (which triggers higher minimum contribution requirements and participant notification). The contributions below reflect a funding strategy to make levelized annual contributions with the objective of achieving 100% funded status over time. This level funding strategy helps minimize volatility of future period required pension contributions. Based on this funding strategy and current market conditions, which are both subject to change, our annual qualified pension contribution was made in July 2023 for $21 million. Unlike the qualified pension plans, our non-qualified pension plans are not funded, given that they are not subject to statutory minimum contribution requirements.</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OPEB plans are also not subject to statutory minimum contribution requirements, though we have funded certain parts of our plans. For our funded OPEB plans, we consider several factors in determining the level of our contributions, including liabilities management and levels of benefit claims paid. The estimated benefit payments to the non-qualified pension plans in 2023 are approximately $10 million and the planned contributions to the OPEB plans, including estimated benefit payments to unfunded plans, is $30 million. Refer to ITEM 7.</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MANAGEMENT'S DISCUSSION AND ANALYSIS OF FINANCIAL CONDITION AND RESULTS OF OPERATIONS - Liquidity and Capital Resources of our 2022 Form 10-K for additional information on pension and other postretirement benefits.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Requirements for Other Financial Commitments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Refer to ITEM 7. MANAGEMENT'S DISCUSSION AND ANALYSIS OF FINANCIAL CONDITION AND RESULTS OF OPERATIONS - Liquidity and Capital Resources of our 2022 Form 10-K for additional information on our cash requirements for financial commitments.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Customer Accounts Receivable</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an accounts receivable financing facility with a number of financial institutions and a commercial paper conduit to sell certain receivables, which expires on August 15, 2025 unless renewed by the mutual consent of the parties in accordance with its terms. See Note 6 — Accounts Receivable of the Combined Notes to Consolidated Financial Statements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Project Financing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Project financing is based upon a nonrecourse financial structure, in which project debt is paid back from the cash generated by a specific asset or portfolio of assets. Borrowings under these agreements are secured by the assets and equity of each respective project. Lenders do not have recourse against us in the event of a default. If a project financing entity does not maintain compliance with its specific debt covenants, there could be a requirement to accelerate repayment of the associated debt or other project-related borrowings earlier than the stated maturity dates. In these instances, if such repayment were not satisfied, or restructured, the lenders or security holders would generally have rights to foreclose against the project-specific assets and related collateral. The potential requirement to repay the debt or other borrowings earlier than otherwise anticipated could lead to impairments due to a higher likelihood of disposing of the respective project-specific assets significantly before the end of their useful lives. See Note 17 — Debt and Credit Agreements of our 2022 Form 10-K for additional information on project finance credit facilities and nonrecourse debt.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Facilities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meet our short-term liquidity requirements primarily through the issuance of commercial paper. We may use our credit facilities for general corporate purposes, including meeting short-term funding requirements and the issuance of letters of credit. See Note 11 — Debt and Credit Agreements of the Combined Notes to Consolidated Financial Statements for additional information on our credit facilities.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Ratings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access to the capital markets, including the commercial paper market, and our financing costs in those markets, may depend on our securities ratings.</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borrowings are not subject to default or prepayment as a result of a downgrade of our securities, although such a downgrade could increase fees and interest charges under our credit agreements.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part of the normal course of business, we enter into contracts that contain express provisions or otherwise permit us and our counterparties to demand adequate assurance of future performance when there are reasonable grounds for doing so. In accordance with the contracts and applicable contracts law, if we are downgraded by a credit rating agency, it is possible that a counterparty would attempt to rely on such a downgrade as a basis for making a demand for adequate assurance of future performance, which could include the posting of additional collateral. See Note 10 — Derivative Financial Instruments of the Combined Notes to Consolidated Financial Statements for additional information on collateral provisions.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credit ratings from S&amp;P and Moody's are BBB and Baa2, respectively, as of June 30, 2023 and have not changed during the six months ended June 30, 2023.</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exposed to market risks associated with adverse changes in commodity prices, counterparty credit, interest rates, and equity prices. We manage these risks through risk management policies and objectives for risk assessment, control and valuation, counterparty credit approval, and the monitoring and reporting of risk exposures. After the separation on February 1, 2022, reporting on risk management issues is to the Executive Committee, the Risk Management Committees of our generation and customer-facing businesses, and the Audit and Risk Committee of the Board of Directors. The following discussion serves as an update to ITEM 7A - QUANTITATIVE AND QUALITATIVE DISCLOSURES ABOUT MARKET RISK of our 2022 Annual Report on Form 10-K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Commodity Price Risk</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Commodity price risk is associated with price movements resulting from changes in supply and demand, fuel costs, market liquidity, weather conditions, governmental, regulatory and environmental policies, and other factors. To the extent the total amount of energy we generate and purchase differs from the amount of energy we have contracted to sell, we are exposed to market fluctuations in commodity prices. We seek to mitigate our commodity price risk through the sale and purchase of electricity, natural gas and oil, and other commodities.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Electricity available from our owned or contracted generation supply in excess of our obligations to customers is sold into the wholesale markets. To reduce commodity price risk caused by market fluctuations, we enter into non-derivative contracts as well as derivative contracts, including swaps, futures, forwards, and options, with approved counterparties to hedge anticipated exposures. We use derivative instruments as economic hedges to mitigate exposure to fluctuations in commodity prices. We expect the settlement of the majority of our economic hedges will occur during 2023 through 2025.</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June 30, 2023, the percentage of expected generation hedged for the Mid-Atlantic, Midwest, New York, and ERCOT reportable segments is 95%-98% and 77%-80% for 2023 and 2024, respectively. Market price risk exposure is the risk of a change in the value of unhedged positions. The forecasted market price risk exposure for our entire economic hedge portfolio associated with a $5.00/MWh reduction in the annual average around-the-clock energy price based on June 30, 2023 market conditions and hedged position would be an increase in pre-tax net income of approximately $11 million and a decrease in pre-tax net income of approximately $151 million for 2023 and 2024, respectively. See Note 10 — Derivative Financial Instruments of the Combined Notes to Consolidated Financial Statements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Fuel Procurement</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procure natural gas through long-term and short-term contracts, and spot-market purchases. Nuclear fuel assemblies are obtained predominantly through long-term uranium concentrate supply contracts, contracted conversion services, contracted enrichment services, or a combination thereof, including contracts sourced from Russia, and contracted fuel fabrication services. The supply markets for uranium concentrates and certain nuclear fuel services are subject to price fluctuations and availability restrictions. Supply market conditions may make our procurement contracts subject to credit risk related to the potential non-performance of counterparties to deliver the contracted commodity or service at the contracted prices. We engage a diverse set of suppliers to ensure we can secure the nuclear fuel needed to continue to operate our nuclear fleet long-term. Approximately 50% of our uranium concentrate requirements for the remainder of 2023 through 2027 are supplied by three suppliers. To-date we have not experienced any counterparty credit risk associated with these suppliers stemming from the Russia and Ukraine conflict. In the event of non-performance by these or other suppliers, we believe that replacement uranium concentrates can be obtained, although at prices that may be unfavorable when compared to the prices under the current supply agreements. Geopolitical developments, including the Russia and Ukraine conflict and United States, United Kingdom, European Union, and Canadian sanctions against Russia, have the potential to impact delivery from multiple suppliers in the international uranium industry. Non-performance by these counterparties could have a material adverse impact on our consolidated financial statements. To-date, we have not experienced any delivery or non-performance issues from our suppliers, nor any degradation in the quality of fuel we have received, and we are closely monitoring developments from the conflict. See ITEM 2. MANAGEMENT'S DISCUSSION AND ANALYSIS OF FINANCIAL CONDITION AND RESULTS OF OPERATIONS — Other Key Business Drivers for more information on the Russia and Ukraine conflict.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and Non-Trading Marketing Activities</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detailing our trading and non-trading marketing activities is included to address the recommended disclosures by the energy industry’s Committee of Chief Risk Officers (CCRO).</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table provides detail on changes in our commodity mark-to-market net asset or liability balance sheet position from December 31, 2022 to June 30, 2023. It indicates the drivers behind changes in the balance sheet amounts. This table incorporates the mark-to-market activities that are immediately recorded in earnings. This table excludes all NPNS contracts and does not segregate proprietary trading activity. See Note 10 — Derivative Financial Instruments of the Combined Notes to Consolidated Financial Statements for additional information on the balance sheet classification of the mark-to-market energy contract net assets recorded as of June 30, 2023 and December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tcPr>
          <w:p>
            <w:pPr>
              <w:jc w:val="right"/>
              <w:ind w:right="82"/>
              <w:spacing w:after="0"/>
              <w:rPr>
                <w:sz w:val="20"/>
                <w:szCs w:val="20"/>
                <w:color w:val="auto"/>
              </w:rPr>
            </w:pPr>
            <w:r>
              <w:rPr>
                <w:rFonts w:ascii="Arial" w:cs="Arial" w:eastAsia="Arial" w:hAnsi="Arial"/>
                <w:sz w:val="13"/>
                <w:szCs w:val="13"/>
                <w:b w:val="1"/>
                <w:bCs w:val="1"/>
                <w:color w:val="auto"/>
                <w:w w:val="97"/>
              </w:rPr>
              <w:t>Mark-to-market Energy Contract Net</w:t>
            </w:r>
          </w:p>
        </w:tc>
        <w:tc>
          <w:tcPr>
            <w:tcW w:w="380" w:type="dxa"/>
            <w:vAlign w:val="bottom"/>
          </w:tcPr>
          <w:p>
            <w:pPr>
              <w:spacing w:after="0"/>
              <w:rPr>
                <w:sz w:val="13"/>
                <w:szCs w:val="13"/>
                <w:color w:val="auto"/>
              </w:rPr>
            </w:pPr>
          </w:p>
        </w:tc>
      </w:tr>
      <w:tr>
        <w:trPr>
          <w:trHeight w:val="176"/>
        </w:trPr>
        <w:tc>
          <w:tcPr>
            <w:tcW w:w="8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jc w:val="right"/>
              <w:ind w:right="962"/>
              <w:spacing w:after="0"/>
              <w:rPr>
                <w:sz w:val="20"/>
                <w:szCs w:val="20"/>
                <w:color w:val="auto"/>
              </w:rPr>
            </w:pPr>
            <w:r>
              <w:rPr>
                <w:rFonts w:ascii="Arial" w:cs="Arial" w:eastAsia="Arial" w:hAnsi="Arial"/>
                <w:sz w:val="13"/>
                <w:szCs w:val="13"/>
                <w:b w:val="1"/>
                <w:bCs w:val="1"/>
                <w:color w:val="auto"/>
              </w:rPr>
              <w:t>Assets</w:t>
            </w:r>
          </w:p>
        </w:tc>
        <w:tc>
          <w:tcPr>
            <w:tcW w:w="380" w:type="dxa"/>
            <w:vAlign w:val="bottom"/>
          </w:tcPr>
          <w:p>
            <w:pPr>
              <w:spacing w:after="0"/>
              <w:rPr>
                <w:sz w:val="15"/>
                <w:szCs w:val="15"/>
                <w:color w:val="auto"/>
              </w:rPr>
            </w:pPr>
          </w:p>
        </w:tc>
      </w:tr>
      <w:tr>
        <w:trPr>
          <w:trHeight w:val="22"/>
        </w:trPr>
        <w:tc>
          <w:tcPr>
            <w:tcW w:w="8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r>
      <w:tr>
        <w:trPr>
          <w:trHeight w:val="233"/>
        </w:trPr>
        <w:tc>
          <w:tcPr>
            <w:tcW w:w="8380" w:type="dxa"/>
            <w:vAlign w:val="bottom"/>
          </w:tcPr>
          <w:p>
            <w:pPr>
              <w:ind w:left="20"/>
              <w:spacing w:after="0"/>
              <w:rPr>
                <w:sz w:val="20"/>
                <w:szCs w:val="20"/>
                <w:color w:val="auto"/>
              </w:rPr>
            </w:pPr>
            <w:r>
              <w:rPr>
                <w:rFonts w:ascii="Arial" w:cs="Arial" w:eastAsia="Arial" w:hAnsi="Arial"/>
                <w:sz w:val="16"/>
                <w:szCs w:val="16"/>
                <w:color w:val="auto"/>
              </w:rPr>
              <w:t>Total change in fair value during 2023 of contracts recorded in result of operations</w:t>
            </w:r>
          </w:p>
        </w:tc>
        <w:tc>
          <w:tcPr>
            <w:tcW w:w="120" w:type="dxa"/>
            <w:vAlign w:val="bottom"/>
          </w:tcPr>
          <w:p>
            <w:pPr>
              <w:spacing w:after="0"/>
              <w:rPr>
                <w:sz w:val="20"/>
                <w:szCs w:val="20"/>
                <w:color w:val="auto"/>
              </w:rPr>
            </w:pPr>
          </w:p>
        </w:tc>
        <w:tc>
          <w:tcPr>
            <w:tcW w:w="2740" w:type="dxa"/>
            <w:vAlign w:val="bottom"/>
            <w:gridSpan w:val="2"/>
          </w:tcPr>
          <w:p>
            <w:pPr>
              <w:jc w:val="right"/>
              <w:ind w:right="347"/>
              <w:spacing w:after="0"/>
              <w:rPr>
                <w:sz w:val="20"/>
                <w:szCs w:val="20"/>
                <w:color w:val="auto"/>
              </w:rPr>
            </w:pPr>
            <w:r>
              <w:rPr>
                <w:rFonts w:ascii="Arial" w:cs="Arial" w:eastAsia="Arial" w:hAnsi="Arial"/>
                <w:sz w:val="16"/>
                <w:szCs w:val="16"/>
                <w:color w:val="auto"/>
              </w:rPr>
              <w:t>(1,123)</w:t>
            </w:r>
          </w:p>
        </w:tc>
      </w:tr>
      <w:tr>
        <w:trPr>
          <w:trHeight w:val="253"/>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to realized at settlement of contracts recorded in results of operations</w:t>
            </w: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380" w:type="dxa"/>
            <w:vAlign w:val="bottom"/>
            <w:shd w:val="clear" w:color="auto" w:fill="CCEEFF"/>
          </w:tcPr>
          <w:p>
            <w:pPr>
              <w:spacing w:after="0"/>
              <w:rPr>
                <w:sz w:val="21"/>
                <w:szCs w:val="21"/>
                <w:color w:val="auto"/>
              </w:rPr>
            </w:pPr>
          </w:p>
        </w:tc>
      </w:tr>
      <w:tr>
        <w:trPr>
          <w:trHeight w:val="224"/>
        </w:trPr>
        <w:tc>
          <w:tcPr>
            <w:tcW w:w="8380" w:type="dxa"/>
            <w:vAlign w:val="bottom"/>
          </w:tcPr>
          <w:p>
            <w:pPr>
              <w:ind w:left="20"/>
              <w:spacing w:after="0"/>
              <w:rPr>
                <w:sz w:val="20"/>
                <w:szCs w:val="20"/>
                <w:color w:val="auto"/>
              </w:rPr>
            </w:pPr>
            <w:r>
              <w:rPr>
                <w:rFonts w:ascii="Arial" w:cs="Arial" w:eastAsia="Arial" w:hAnsi="Arial"/>
                <w:sz w:val="16"/>
                <w:szCs w:val="16"/>
                <w:color w:val="auto"/>
              </w:rPr>
              <w:t>Changes in allocated collateral</w:t>
            </w: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6"/>
                <w:szCs w:val="16"/>
                <w:color w:val="auto"/>
              </w:rPr>
              <w:t>488</w:t>
            </w:r>
          </w:p>
        </w:tc>
        <w:tc>
          <w:tcPr>
            <w:tcW w:w="380" w:type="dxa"/>
            <w:vAlign w:val="bottom"/>
          </w:tcPr>
          <w:p>
            <w:pPr>
              <w:spacing w:after="0"/>
              <w:rPr>
                <w:sz w:val="19"/>
                <w:szCs w:val="19"/>
                <w:color w:val="auto"/>
              </w:rPr>
            </w:pPr>
          </w:p>
        </w:tc>
      </w:tr>
      <w:tr>
        <w:trPr>
          <w:trHeight w:val="33"/>
        </w:trPr>
        <w:tc>
          <w:tcPr>
            <w:tcW w:w="8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option premium paid</w:t>
            </w: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380" w:type="dxa"/>
            <w:vAlign w:val="bottom"/>
            <w:shd w:val="clear" w:color="auto" w:fill="CCEEFF"/>
          </w:tcPr>
          <w:p>
            <w:pPr>
              <w:spacing w:after="0"/>
              <w:rPr>
                <w:sz w:val="21"/>
                <w:szCs w:val="21"/>
                <w:color w:val="auto"/>
              </w:rPr>
            </w:pPr>
          </w:p>
        </w:tc>
      </w:tr>
      <w:tr>
        <w:trPr>
          <w:trHeight w:val="233"/>
        </w:trPr>
        <w:tc>
          <w:tcPr>
            <w:tcW w:w="8380" w:type="dxa"/>
            <w:vAlign w:val="bottom"/>
          </w:tcPr>
          <w:p>
            <w:pPr>
              <w:ind w:left="20"/>
              <w:spacing w:after="0"/>
              <w:rPr>
                <w:sz w:val="20"/>
                <w:szCs w:val="20"/>
                <w:color w:val="auto"/>
              </w:rPr>
            </w:pPr>
            <w:r>
              <w:rPr>
                <w:rFonts w:ascii="Arial" w:cs="Arial" w:eastAsia="Arial" w:hAnsi="Arial"/>
                <w:sz w:val="16"/>
                <w:szCs w:val="16"/>
                <w:color w:val="auto"/>
              </w:rPr>
              <w:t>Option premium amortization</w:t>
            </w:r>
          </w:p>
        </w:tc>
        <w:tc>
          <w:tcPr>
            <w:tcW w:w="120" w:type="dxa"/>
            <w:vAlign w:val="bottom"/>
          </w:tcPr>
          <w:p>
            <w:pPr>
              <w:spacing w:after="0"/>
              <w:rPr>
                <w:sz w:val="20"/>
                <w:szCs w:val="20"/>
                <w:color w:val="auto"/>
              </w:rPr>
            </w:pPr>
          </w:p>
        </w:tc>
        <w:tc>
          <w:tcPr>
            <w:tcW w:w="2740" w:type="dxa"/>
            <w:vAlign w:val="bottom"/>
            <w:gridSpan w:val="2"/>
          </w:tcPr>
          <w:p>
            <w:pPr>
              <w:jc w:val="right"/>
              <w:ind w:right="347"/>
              <w:spacing w:after="0"/>
              <w:rPr>
                <w:sz w:val="20"/>
                <w:szCs w:val="20"/>
                <w:color w:val="auto"/>
              </w:rPr>
            </w:pPr>
            <w:r>
              <w:rPr>
                <w:rFonts w:ascii="Arial" w:cs="Arial" w:eastAsia="Arial" w:hAnsi="Arial"/>
                <w:sz w:val="16"/>
                <w:szCs w:val="16"/>
                <w:color w:val="auto"/>
              </w:rPr>
              <w:t>(121)</w:t>
            </w:r>
          </w:p>
        </w:tc>
      </w:tr>
      <w:tr>
        <w:trPr>
          <w:trHeight w:val="26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Upfront payments and amortizations</w:t>
            </w:r>
            <w:r>
              <w:rPr>
                <w:rFonts w:ascii="Arial" w:cs="Arial" w:eastAsia="Arial" w:hAnsi="Arial"/>
                <w:sz w:val="21"/>
                <w:szCs w:val="21"/>
                <w:color w:val="auto"/>
                <w:vertAlign w:val="superscript"/>
              </w:rPr>
              <w:t>(b)</w:t>
            </w:r>
          </w:p>
        </w:tc>
        <w:tc>
          <w:tcPr>
            <w:tcW w:w="12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right"/>
              <w:ind w:right="347"/>
              <w:spacing w:after="0"/>
              <w:rPr>
                <w:sz w:val="20"/>
                <w:szCs w:val="20"/>
                <w:color w:val="auto"/>
              </w:rPr>
            </w:pPr>
            <w:r>
              <w:rPr>
                <w:rFonts w:ascii="Arial" w:cs="Arial" w:eastAsia="Arial" w:hAnsi="Arial"/>
                <w:sz w:val="16"/>
                <w:szCs w:val="16"/>
                <w:color w:val="auto"/>
              </w:rPr>
              <w:t>(204)</w:t>
            </w:r>
          </w:p>
        </w:tc>
      </w:tr>
      <w:tr>
        <w:trPr>
          <w:trHeight w:val="237"/>
        </w:trPr>
        <w:tc>
          <w:tcPr>
            <w:tcW w:w="838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120" w:type="dxa"/>
            <w:vAlign w:val="bottom"/>
          </w:tcPr>
          <w:p>
            <w:pPr>
              <w:spacing w:after="0"/>
              <w:rPr>
                <w:sz w:val="20"/>
                <w:szCs w:val="20"/>
                <w:color w:val="auto"/>
              </w:rPr>
            </w:pPr>
          </w:p>
        </w:tc>
        <w:tc>
          <w:tcPr>
            <w:tcW w:w="2740" w:type="dxa"/>
            <w:vAlign w:val="bottom"/>
            <w:gridSpan w:val="2"/>
          </w:tcPr>
          <w:p>
            <w:pPr>
              <w:jc w:val="right"/>
              <w:ind w:right="347"/>
              <w:spacing w:after="0"/>
              <w:rPr>
                <w:sz w:val="20"/>
                <w:szCs w:val="20"/>
                <w:color w:val="auto"/>
              </w:rPr>
            </w:pPr>
            <w:r>
              <w:rPr>
                <w:rFonts w:ascii="Arial" w:cs="Arial" w:eastAsia="Arial" w:hAnsi="Arial"/>
                <w:sz w:val="16"/>
                <w:szCs w:val="16"/>
                <w:color w:val="auto"/>
              </w:rPr>
              <w:t>(11)</w:t>
            </w:r>
          </w:p>
        </w:tc>
      </w:tr>
      <w:tr>
        <w:trPr>
          <w:trHeight w:val="27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are shown net of collateral paid to and received from counterparties.</w:t>
      </w:r>
    </w:p>
    <w:p>
      <w:pPr>
        <w:spacing w:after="0" w:line="16" w:lineRule="exact"/>
        <w:rPr>
          <w:rFonts w:ascii="Arial" w:cs="Arial" w:eastAsia="Arial" w:hAnsi="Arial"/>
          <w:sz w:val="14"/>
          <w:szCs w:val="14"/>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derivative contracts acquired or sold through upfront payments or receipts of cash, excluding option premiums, and the associated amortizations.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table presents maturity and source of fair value for mark-to-market commodity contract net assets (liabilities). The table provides two fundamental pieces of information. First, the table provides the source of fair value used in determining the carrying amount of our total mark-to-market net assets (liabilities), net of allocated collateral. Second, the table shows the maturity, by year, of our commodity contract net assets (liabilities), net of allocated collateral, giving an indication of when these mark-to-market amounts will settle and either generate or require cash. See Note 12 — Fair Value of Financial Assets and Liabilities of the Combined Notes to Consolidated Financial Statements for additional information regarding fair value measurements and the fair value hierarchy.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4"/>
          </w:tcPr>
          <w:p>
            <w:pPr>
              <w:jc w:val="right"/>
              <w:ind w:right="123"/>
              <w:spacing w:after="0"/>
              <w:rPr>
                <w:sz w:val="20"/>
                <w:szCs w:val="20"/>
                <w:color w:val="auto"/>
              </w:rPr>
            </w:pPr>
            <w:r>
              <w:rPr>
                <w:rFonts w:ascii="Arial" w:cs="Arial" w:eastAsia="Arial" w:hAnsi="Arial"/>
                <w:sz w:val="13"/>
                <w:szCs w:val="13"/>
                <w:b w:val="1"/>
                <w:bCs w:val="1"/>
                <w:color w:val="auto"/>
              </w:rPr>
              <w:t>Maturities Within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44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vMerge w:val="restart"/>
          </w:tcPr>
          <w:p>
            <w:pPr>
              <w:jc w:val="right"/>
              <w:ind w:right="185"/>
              <w:spacing w:after="0"/>
              <w:rPr>
                <w:sz w:val="20"/>
                <w:szCs w:val="20"/>
                <w:color w:val="auto"/>
              </w:rPr>
            </w:pPr>
            <w:r>
              <w:rPr>
                <w:rFonts w:ascii="Arial" w:cs="Arial" w:eastAsia="Arial" w:hAnsi="Arial"/>
                <w:sz w:val="13"/>
                <w:szCs w:val="13"/>
                <w:b w:val="1"/>
                <w:bCs w:val="1"/>
                <w:color w:val="auto"/>
              </w:rPr>
              <w:t>Total Fair</w:t>
            </w: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185"/>
              <w:spacing w:after="0" w:line="148" w:lineRule="exact"/>
              <w:rPr>
                <w:sz w:val="20"/>
                <w:szCs w:val="20"/>
                <w:color w:val="auto"/>
              </w:rPr>
            </w:pPr>
            <w:r>
              <w:rPr>
                <w:rFonts w:ascii="Arial" w:cs="Arial" w:eastAsia="Arial" w:hAnsi="Arial"/>
                <w:sz w:val="13"/>
                <w:szCs w:val="13"/>
                <w:b w:val="1"/>
                <w:bCs w:val="1"/>
                <w:color w:val="auto"/>
              </w:rPr>
              <w:t>2028 and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2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43"/>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65"/>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ind w:right="14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63"/>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25"/>
              <w:spacing w:after="0"/>
              <w:rPr>
                <w:sz w:val="20"/>
                <w:szCs w:val="20"/>
                <w:color w:val="auto"/>
              </w:rPr>
            </w:pPr>
            <w:r>
              <w:rPr>
                <w:rFonts w:ascii="Arial" w:cs="Arial" w:eastAsia="Arial" w:hAnsi="Arial"/>
                <w:sz w:val="13"/>
                <w:szCs w:val="13"/>
                <w:b w:val="1"/>
                <w:bCs w:val="1"/>
                <w:color w:val="auto"/>
              </w:rPr>
              <w:t>Beyond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05"/>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Normal Operations, Commodity derivative contracts</w:t>
            </w:r>
            <w:r>
              <w:rPr>
                <w:rFonts w:ascii="Arial" w:cs="Arial" w:eastAsia="Arial" w:hAnsi="Arial"/>
                <w:sz w:val="16"/>
                <w:szCs w:val="16"/>
                <w:b w:val="1"/>
                <w:bCs w:val="1"/>
                <w:color w:val="auto"/>
                <w:vertAlign w:val="superscript"/>
              </w:rPr>
              <w:t>(a)(b)</w:t>
            </w:r>
            <w:r>
              <w:rPr>
                <w:rFonts w:ascii="Arial" w:cs="Arial" w:eastAsia="Arial" w:hAnsi="Arial"/>
                <w:sz w:val="13"/>
                <w:szCs w:val="13"/>
                <w:b w:val="1"/>
                <w:bCs w:val="1"/>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480" w:type="dxa"/>
            <w:vAlign w:val="bottom"/>
          </w:tcPr>
          <w:p>
            <w:pPr>
              <w:ind w:left="360"/>
              <w:spacing w:after="0"/>
              <w:rPr>
                <w:sz w:val="20"/>
                <w:szCs w:val="20"/>
                <w:color w:val="auto"/>
              </w:rPr>
            </w:pPr>
            <w:r>
              <w:rPr>
                <w:rFonts w:ascii="Arial" w:cs="Arial" w:eastAsia="Arial" w:hAnsi="Arial"/>
                <w:sz w:val="16"/>
                <w:szCs w:val="16"/>
                <w:color w:val="auto"/>
              </w:rPr>
              <w:t>Actively quoted prices (Level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
              <w:spacing w:after="0"/>
              <w:rPr>
                <w:sz w:val="20"/>
                <w:szCs w:val="20"/>
                <w:color w:val="auto"/>
              </w:rPr>
            </w:pPr>
            <w:r>
              <w:rPr>
                <w:rFonts w:ascii="Arial" w:cs="Arial" w:eastAsia="Arial" w:hAnsi="Arial"/>
                <w:sz w:val="16"/>
                <w:szCs w:val="16"/>
                <w:color w:val="auto"/>
              </w:rPr>
              <w:t>66</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5"/>
              <w:spacing w:after="0"/>
              <w:rPr>
                <w:sz w:val="20"/>
                <w:szCs w:val="20"/>
                <w:color w:val="auto"/>
              </w:rPr>
            </w:pPr>
            <w:r>
              <w:rPr>
                <w:rFonts w:ascii="Arial" w:cs="Arial" w:eastAsia="Arial" w:hAnsi="Arial"/>
                <w:sz w:val="16"/>
                <w:szCs w:val="16"/>
                <w:color w:val="auto"/>
              </w:rPr>
              <w:t>100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center"/>
              <w:ind w:left="183"/>
              <w:spacing w:after="0"/>
              <w:rPr>
                <w:sz w:val="20"/>
                <w:szCs w:val="20"/>
                <w:color w:val="auto"/>
              </w:rPr>
            </w:pPr>
            <w:r>
              <w:rPr>
                <w:rFonts w:ascii="Arial" w:cs="Arial" w:eastAsia="Arial" w:hAnsi="Arial"/>
                <w:sz w:val="16"/>
                <w:szCs w:val="16"/>
                <w:color w:val="auto"/>
              </w:rPr>
              <w:t>40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Prices provided by external sources (Level 2)</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center"/>
              <w:ind w:left="183"/>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4480" w:type="dxa"/>
            <w:vAlign w:val="bottom"/>
          </w:tcPr>
          <w:p>
            <w:pPr>
              <w:ind w:left="360"/>
              <w:spacing w:after="0"/>
              <w:rPr>
                <w:sz w:val="20"/>
                <w:szCs w:val="20"/>
                <w:color w:val="auto"/>
              </w:rPr>
            </w:pPr>
            <w:r>
              <w:rPr>
                <w:rFonts w:ascii="Arial" w:cs="Arial" w:eastAsia="Arial" w:hAnsi="Arial"/>
                <w:sz w:val="16"/>
                <w:szCs w:val="16"/>
                <w:color w:val="auto"/>
              </w:rPr>
              <w:t>Prices based on model or other valuation methods (Level</w:t>
            </w:r>
          </w:p>
        </w:tc>
        <w:tc>
          <w:tcPr>
            <w:tcW w:w="220" w:type="dxa"/>
            <w:vAlign w:val="bottom"/>
          </w:tcPr>
          <w:p>
            <w:pPr>
              <w:spacing w:after="0"/>
              <w:rPr>
                <w:sz w:val="19"/>
                <w:szCs w:val="19"/>
                <w:color w:val="auto"/>
              </w:rPr>
            </w:pPr>
          </w:p>
        </w:tc>
        <w:tc>
          <w:tcPr>
            <w:tcW w:w="680" w:type="dxa"/>
            <w:vAlign w:val="bottom"/>
            <w:vMerge w:val="restart"/>
          </w:tcPr>
          <w:p>
            <w:pPr>
              <w:jc w:val="right"/>
              <w:ind w:right="3"/>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restart"/>
          </w:tcPr>
          <w:p>
            <w:pPr>
              <w:jc w:val="right"/>
              <w:ind w:right="5"/>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vMerge w:val="restart"/>
          </w:tcPr>
          <w:p>
            <w:pPr>
              <w:jc w:val="center"/>
              <w:ind w:left="163"/>
              <w:spacing w:after="0"/>
              <w:rPr>
                <w:sz w:val="20"/>
                <w:szCs w:val="20"/>
                <w:color w:val="auto"/>
              </w:rPr>
            </w:pPr>
            <w:r>
              <w:rPr>
                <w:rFonts w:ascii="Arial" w:cs="Arial" w:eastAsia="Arial" w:hAnsi="Arial"/>
                <w:sz w:val="16"/>
                <w:szCs w:val="16"/>
                <w:color w:val="auto"/>
                <w:w w:val="98"/>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20"/>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ind w:left="183"/>
              <w:spacing w:after="0"/>
              <w:rPr>
                <w:sz w:val="20"/>
                <w:szCs w:val="20"/>
                <w:color w:val="auto"/>
              </w:rPr>
            </w:pPr>
            <w:r>
              <w:rPr>
                <w:rFonts w:ascii="Arial" w:cs="Arial" w:eastAsia="Arial" w:hAnsi="Arial"/>
                <w:sz w:val="16"/>
                <w:szCs w:val="16"/>
                <w:color w:val="auto"/>
              </w:rPr>
              <w:t>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Mark-to-market gains and losses on other economic hedge and trading derivative contracts that are recorded in the results of operations.</w:t>
      </w:r>
    </w:p>
    <w:p>
      <w:pPr>
        <w:spacing w:after="0" w:line="16" w:lineRule="exact"/>
        <w:rPr>
          <w:rFonts w:ascii="Arial" w:cs="Arial" w:eastAsia="Arial" w:hAnsi="Arial"/>
          <w:sz w:val="14"/>
          <w:szCs w:val="14"/>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Amounts are shown net of collateral paid/(received) from counterparties (and offset against mark-to-market assets and liabilities) of $1,386 million at June 30, 2023.</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Risk</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would be exposed to credit-related losses in the event of non-performance by counterparties that execute derivative instruments. The credit exposure of derivative contracts, before collateral, is represented by the fair value of contracts at the reporting date. See Note 10 — Derivative Financial Instruments of the Combined Notes to Consolidated Financial Statements for a detailed discussion of credit risk. The following tables provide information on our credit exposure for all derivative instruments, NPNS, and payables and receivables, net of collateral and instruments that are subject to master netting agreements, as of June 30, 2023. The tables further delineate that exposure by credit rating of the counterparties and provide guidance on the concentration of credit risk to individual counterparties and an indication of the duration of a company’s credit risk by credit rating of the counterparties. The amounts in the tables below exclude credit risk exposure from individual retail customers, uranium procurement contracts, and exposure through RTOs, ISOs, and commodity exchanges, which are discussed in ITEM 7A — QUANTITATIVE AND QUALITATIVE DISCLOSURES ABOUT MARKET RISK of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4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center"/>
              <w:ind w:right="167"/>
              <w:spacing w:after="0"/>
              <w:rPr>
                <w:sz w:val="20"/>
                <w:szCs w:val="20"/>
                <w:color w:val="auto"/>
              </w:rPr>
            </w:pPr>
            <w:r>
              <w:rPr>
                <w:rFonts w:ascii="Arial" w:cs="Arial" w:eastAsia="Arial" w:hAnsi="Arial"/>
                <w:sz w:val="13"/>
                <w:szCs w:val="13"/>
                <w:b w:val="1"/>
                <w:bCs w:val="1"/>
                <w:color w:val="auto"/>
                <w:w w:val="96"/>
              </w:rPr>
              <w:t>Net Exposure of</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147"/>
              <w:spacing w:after="0"/>
              <w:rPr>
                <w:sz w:val="20"/>
                <w:szCs w:val="20"/>
                <w:color w:val="auto"/>
              </w:rPr>
            </w:pPr>
            <w:r>
              <w:rPr>
                <w:rFonts w:ascii="Arial" w:cs="Arial" w:eastAsia="Arial" w:hAnsi="Arial"/>
                <w:sz w:val="13"/>
                <w:szCs w:val="13"/>
                <w:b w:val="1"/>
                <w:bCs w:val="1"/>
                <w:color w:val="auto"/>
                <w:w w:val="94"/>
              </w:rPr>
              <w:t>Exposure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5"/>
              </w:rPr>
              <w:t>Counterparties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center"/>
              <w:ind w:right="187"/>
              <w:spacing w:after="0"/>
              <w:rPr>
                <w:sz w:val="20"/>
                <w:szCs w:val="20"/>
                <w:color w:val="auto"/>
              </w:rPr>
            </w:pPr>
            <w:r>
              <w:rPr>
                <w:rFonts w:ascii="Arial" w:cs="Arial" w:eastAsia="Arial" w:hAnsi="Arial"/>
                <w:sz w:val="13"/>
                <w:szCs w:val="13"/>
                <w:b w:val="1"/>
                <w:bCs w:val="1"/>
                <w:color w:val="auto"/>
                <w:w w:val="97"/>
              </w:rPr>
              <w:t>Counterparties</w:t>
            </w:r>
          </w:p>
        </w:tc>
        <w:tc>
          <w:tcPr>
            <w:tcW w:w="0" w:type="dxa"/>
            <w:vAlign w:val="bottom"/>
          </w:tcPr>
          <w:p>
            <w:pPr>
              <w:spacing w:after="0"/>
              <w:rPr>
                <w:sz w:val="1"/>
                <w:szCs w:val="1"/>
                <w:color w:val="auto"/>
              </w:rPr>
            </w:pPr>
          </w:p>
        </w:tc>
      </w:tr>
      <w:tr>
        <w:trPr>
          <w:trHeight w:val="170"/>
        </w:trPr>
        <w:tc>
          <w:tcPr>
            <w:tcW w:w="3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Rating as of June 30, 2023</w:t>
            </w:r>
          </w:p>
        </w:tc>
        <w:tc>
          <w:tcPr>
            <w:tcW w:w="200" w:type="dxa"/>
            <w:vAlign w:val="bottom"/>
          </w:tcPr>
          <w:p>
            <w:pPr>
              <w:spacing w:after="0"/>
              <w:rPr>
                <w:sz w:val="14"/>
                <w:szCs w:val="14"/>
                <w:color w:val="auto"/>
              </w:rPr>
            </w:pPr>
          </w:p>
        </w:tc>
        <w:tc>
          <w:tcPr>
            <w:tcW w:w="1220" w:type="dxa"/>
            <w:vAlign w:val="bottom"/>
          </w:tcPr>
          <w:p>
            <w:pPr>
              <w:jc w:val="center"/>
              <w:ind w:right="147"/>
              <w:spacing w:after="0"/>
              <w:rPr>
                <w:sz w:val="20"/>
                <w:szCs w:val="20"/>
                <w:color w:val="auto"/>
              </w:rPr>
            </w:pPr>
            <w:r>
              <w:rPr>
                <w:rFonts w:ascii="Arial" w:cs="Arial" w:eastAsia="Arial" w:hAnsi="Arial"/>
                <w:sz w:val="13"/>
                <w:szCs w:val="13"/>
                <w:b w:val="1"/>
                <w:bCs w:val="1"/>
                <w:color w:val="auto"/>
                <w:w w:val="97"/>
              </w:rPr>
              <w:t>Before Credit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404"/>
              <w:spacing w:after="0"/>
              <w:rPr>
                <w:sz w:val="20"/>
                <w:szCs w:val="20"/>
                <w:color w:val="auto"/>
              </w:rPr>
            </w:pPr>
            <w:r>
              <w:rPr>
                <w:rFonts w:ascii="Arial" w:cs="Arial" w:eastAsia="Arial" w:hAnsi="Arial"/>
                <w:sz w:val="13"/>
                <w:szCs w:val="13"/>
                <w:b w:val="1"/>
                <w:bCs w:val="1"/>
                <w:color w:val="auto"/>
              </w:rPr>
              <w:t>Credit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84"/>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97"/>
              </w:rPr>
              <w:t>Greater than 10%</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center"/>
              <w:ind w:right="167"/>
              <w:spacing w:after="0"/>
              <w:rPr>
                <w:sz w:val="20"/>
                <w:szCs w:val="20"/>
                <w:color w:val="auto"/>
              </w:rPr>
            </w:pPr>
            <w:r>
              <w:rPr>
                <w:rFonts w:ascii="Arial" w:cs="Arial" w:eastAsia="Arial" w:hAnsi="Arial"/>
                <w:sz w:val="13"/>
                <w:szCs w:val="13"/>
                <w:b w:val="1"/>
                <w:bCs w:val="1"/>
                <w:color w:val="auto"/>
                <w:w w:val="97"/>
              </w:rPr>
              <w:t>Greater than 10%</w:t>
            </w:r>
          </w:p>
        </w:tc>
        <w:tc>
          <w:tcPr>
            <w:tcW w:w="0" w:type="dxa"/>
            <w:vAlign w:val="bottom"/>
          </w:tcPr>
          <w:p>
            <w:pPr>
              <w:spacing w:after="0"/>
              <w:rPr>
                <w:sz w:val="1"/>
                <w:szCs w:val="1"/>
                <w:color w:val="auto"/>
              </w:rPr>
            </w:pPr>
          </w:p>
        </w:tc>
      </w:tr>
      <w:tr>
        <w:trPr>
          <w:trHeight w:val="175"/>
        </w:trPr>
        <w:tc>
          <w:tcPr>
            <w:tcW w:w="33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7"/>
              <w:spacing w:after="0"/>
              <w:rPr>
                <w:sz w:val="20"/>
                <w:szCs w:val="20"/>
                <w:color w:val="auto"/>
              </w:rPr>
            </w:pPr>
            <w:r>
              <w:rPr>
                <w:rFonts w:ascii="Arial" w:cs="Arial" w:eastAsia="Arial" w:hAnsi="Arial"/>
                <w:sz w:val="13"/>
                <w:szCs w:val="13"/>
                <w:b w:val="1"/>
                <w:bCs w:val="1"/>
                <w:color w:val="auto"/>
                <w:w w:val="94"/>
              </w:rPr>
              <w:t>Collateral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44"/>
              <w:spacing w:after="0" w:line="175" w:lineRule="exact"/>
              <w:rPr>
                <w:sz w:val="20"/>
                <w:szCs w:val="20"/>
                <w:color w:val="auto"/>
              </w:rPr>
            </w:pPr>
            <w:r>
              <w:rPr>
                <w:rFonts w:ascii="Arial" w:cs="Arial" w:eastAsia="Arial" w:hAnsi="Arial"/>
                <w:sz w:val="13"/>
                <w:szCs w:val="13"/>
                <w:b w:val="1"/>
                <w:bCs w:val="1"/>
                <w:color w:val="auto"/>
              </w:rPr>
              <w:t>Collateral</w:t>
            </w:r>
            <w:r>
              <w:rPr>
                <w:rFonts w:ascii="Arial" w:cs="Arial" w:eastAsia="Arial" w:hAnsi="Arial"/>
                <w:sz w:val="16"/>
                <w:szCs w:val="16"/>
                <w:b w:val="1"/>
                <w:bCs w:val="1"/>
                <w:color w:val="auto"/>
                <w:vertAlign w:val="superscript"/>
              </w:rPr>
              <w:t>(a)</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Exposure</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of Net Exposure</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6"/>
              </w:rPr>
              <w:t>of Net Exposure</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grade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958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9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Non-investment grade</w:t>
            </w:r>
          </w:p>
        </w:tc>
        <w:tc>
          <w:tcPr>
            <w:tcW w:w="200" w:type="dxa"/>
            <w:vAlign w:val="bottom"/>
          </w:tcPr>
          <w:p>
            <w:pPr>
              <w:spacing w:after="0"/>
              <w:rPr>
                <w:sz w:val="20"/>
                <w:szCs w:val="20"/>
                <w:color w:val="auto"/>
              </w:rPr>
            </w:pPr>
          </w:p>
        </w:tc>
        <w:tc>
          <w:tcPr>
            <w:tcW w:w="1220" w:type="dxa"/>
            <w:vAlign w:val="bottom"/>
          </w:tcPr>
          <w:p>
            <w:pPr>
              <w:jc w:val="right"/>
              <w:ind w:right="7"/>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78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 external ratings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20" w:type="dxa"/>
            <w:vAlign w:val="bottom"/>
          </w:tcPr>
          <w:p>
            <w:pPr>
              <w:ind w:left="360"/>
              <w:spacing w:after="0"/>
              <w:rPr>
                <w:sz w:val="20"/>
                <w:szCs w:val="20"/>
                <w:color w:val="auto"/>
              </w:rPr>
            </w:pPr>
            <w:r>
              <w:rPr>
                <w:rFonts w:ascii="Arial" w:cs="Arial" w:eastAsia="Arial" w:hAnsi="Arial"/>
                <w:sz w:val="16"/>
                <w:szCs w:val="16"/>
                <w:color w:val="auto"/>
              </w:rPr>
              <w:t>Internally rated—investment grade</w:t>
            </w:r>
          </w:p>
        </w:tc>
        <w:tc>
          <w:tcPr>
            <w:tcW w:w="200" w:type="dxa"/>
            <w:vAlign w:val="bottom"/>
          </w:tcPr>
          <w:p>
            <w:pPr>
              <w:spacing w:after="0"/>
              <w:rPr>
                <w:sz w:val="20"/>
                <w:szCs w:val="20"/>
                <w:color w:val="auto"/>
              </w:rPr>
            </w:pPr>
          </w:p>
        </w:tc>
        <w:tc>
          <w:tcPr>
            <w:tcW w:w="1220" w:type="dxa"/>
            <w:vAlign w:val="bottom"/>
          </w:tcPr>
          <w:p>
            <w:pPr>
              <w:jc w:val="right"/>
              <w:ind w:right="7"/>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78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3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Internally rated—non-investment grade</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
              <w:spacing w:after="0"/>
              <w:rPr>
                <w:sz w:val="20"/>
                <w:szCs w:val="20"/>
                <w:color w:val="auto"/>
              </w:rPr>
            </w:pPr>
            <w:r>
              <w:rPr>
                <w:rFonts w:ascii="Arial" w:cs="Arial" w:eastAsia="Arial" w:hAnsi="Arial"/>
                <w:sz w:val="16"/>
                <w:szCs w:val="16"/>
                <w:color w:val="auto"/>
              </w:rPr>
              <w:t>1,348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98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1,250</w:t>
            </w:r>
          </w:p>
        </w:tc>
        <w:tc>
          <w:tcPr>
            <w:tcW w:w="1900" w:type="dxa"/>
            <w:vAlign w:val="bottom"/>
            <w:gridSpan w:val="2"/>
          </w:tcPr>
          <w:p>
            <w:pPr>
              <w:jc w:val="right"/>
              <w:ind w:right="9"/>
              <w:spacing w:after="0"/>
              <w:rPr>
                <w:sz w:val="20"/>
                <w:szCs w:val="20"/>
                <w:color w:val="auto"/>
              </w:rPr>
            </w:pPr>
            <w:r>
              <w:rPr>
                <w:rFonts w:ascii="Arial" w:cs="Arial" w:eastAsia="Arial" w:hAnsi="Arial"/>
                <w:sz w:val="16"/>
                <w:szCs w:val="16"/>
                <w:color w:val="auto"/>
              </w:rPr>
              <w:t>1</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7"/>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2"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June 30, 2023, credit collateral held from counterparties where we had credit exposure included $47 million of cash and $51 million of letters of credit.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Maturity of Credit Risk Exposure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2"/>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61"/>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w w:val="97"/>
              </w:rPr>
              <w:t>Exposure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83"/>
              <w:spacing w:after="0"/>
              <w:rPr>
                <w:sz w:val="20"/>
                <w:szCs w:val="20"/>
                <w:color w:val="auto"/>
              </w:rPr>
            </w:pPr>
            <w:r>
              <w:rPr>
                <w:rFonts w:ascii="Arial" w:cs="Arial" w:eastAsia="Arial" w:hAnsi="Arial"/>
                <w:sz w:val="13"/>
                <w:szCs w:val="13"/>
                <w:b w:val="1"/>
                <w:bCs w:val="1"/>
                <w:color w:val="auto"/>
                <w:w w:val="95"/>
              </w:rPr>
              <w:t>Total Exposure</w:t>
            </w:r>
          </w:p>
        </w:tc>
      </w:tr>
      <w:tr>
        <w:trPr>
          <w:trHeight w:val="148"/>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04"/>
              <w:spacing w:after="0"/>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506"/>
              <w:spacing w:after="0"/>
              <w:rPr>
                <w:sz w:val="20"/>
                <w:szCs w:val="20"/>
                <w:color w:val="auto"/>
              </w:rPr>
            </w:pPr>
            <w:r>
              <w:rPr>
                <w:rFonts w:ascii="Arial" w:cs="Arial" w:eastAsia="Arial" w:hAnsi="Arial"/>
                <w:sz w:val="13"/>
                <w:szCs w:val="13"/>
                <w:b w:val="1"/>
                <w:bCs w:val="1"/>
                <w:color w:val="auto"/>
              </w:rPr>
              <w:t>2-5</w:t>
            </w:r>
          </w:p>
        </w:tc>
        <w:tc>
          <w:tcPr>
            <w:tcW w:w="140" w:type="dxa"/>
            <w:vAlign w:val="bottom"/>
          </w:tcPr>
          <w:p>
            <w:pPr>
              <w:spacing w:after="0"/>
              <w:rPr>
                <w:sz w:val="12"/>
                <w:szCs w:val="12"/>
                <w:color w:val="auto"/>
              </w:rPr>
            </w:pPr>
          </w:p>
        </w:tc>
        <w:tc>
          <w:tcPr>
            <w:tcW w:w="110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w w:val="95"/>
              </w:rPr>
              <w:t>Greater than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63"/>
              <w:spacing w:after="0"/>
              <w:rPr>
                <w:sz w:val="20"/>
                <w:szCs w:val="20"/>
                <w:color w:val="auto"/>
              </w:rPr>
            </w:pPr>
            <w:r>
              <w:rPr>
                <w:rFonts w:ascii="Arial" w:cs="Arial" w:eastAsia="Arial" w:hAnsi="Arial"/>
                <w:sz w:val="13"/>
                <w:szCs w:val="13"/>
                <w:b w:val="1"/>
                <w:bCs w:val="1"/>
                <w:color w:val="auto"/>
                <w:w w:val="97"/>
              </w:rPr>
              <w:t>Before Credit</w:t>
            </w:r>
          </w:p>
        </w:tc>
      </w:tr>
      <w:tr>
        <w:trPr>
          <w:trHeight w:val="176"/>
        </w:trPr>
        <w:tc>
          <w:tcPr>
            <w:tcW w:w="5120" w:type="dxa"/>
            <w:vAlign w:val="bottom"/>
          </w:tcPr>
          <w:p>
            <w:pPr>
              <w:ind w:left="20"/>
              <w:spacing w:after="0"/>
              <w:rPr>
                <w:sz w:val="20"/>
                <w:szCs w:val="20"/>
                <w:color w:val="auto"/>
              </w:rPr>
            </w:pPr>
            <w:r>
              <w:rPr>
                <w:rFonts w:ascii="Arial" w:cs="Arial" w:eastAsia="Arial" w:hAnsi="Arial"/>
                <w:sz w:val="13"/>
                <w:szCs w:val="13"/>
                <w:b w:val="1"/>
                <w:bCs w:val="1"/>
                <w:color w:val="auto"/>
              </w:rPr>
              <w:t>Rating as of June 30, 2023</w:t>
            </w:r>
          </w:p>
        </w:tc>
        <w:tc>
          <w:tcPr>
            <w:tcW w:w="240" w:type="dxa"/>
            <w:vAlign w:val="bottom"/>
          </w:tcPr>
          <w:p>
            <w:pPr>
              <w:spacing w:after="0"/>
              <w:rPr>
                <w:sz w:val="15"/>
                <w:szCs w:val="15"/>
                <w:color w:val="auto"/>
              </w:rPr>
            </w:pPr>
          </w:p>
        </w:tc>
        <w:tc>
          <w:tcPr>
            <w:tcW w:w="1120" w:type="dxa"/>
            <w:vAlign w:val="bottom"/>
          </w:tcPr>
          <w:p>
            <w:pPr>
              <w:jc w:val="right"/>
              <w:ind w:right="384"/>
              <w:spacing w:after="0"/>
              <w:rPr>
                <w:sz w:val="20"/>
                <w:szCs w:val="20"/>
                <w:color w:val="auto"/>
              </w:rPr>
            </w:pPr>
            <w:r>
              <w:rPr>
                <w:rFonts w:ascii="Arial" w:cs="Arial" w:eastAsia="Arial" w:hAnsi="Arial"/>
                <w:sz w:val="13"/>
                <w:szCs w:val="13"/>
                <w:b w:val="1"/>
                <w:bCs w:val="1"/>
                <w:color w:val="auto"/>
              </w:rPr>
              <w:t>2 Years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26"/>
              <w:spacing w:after="0"/>
              <w:rPr>
                <w:sz w:val="20"/>
                <w:szCs w:val="20"/>
                <w:color w:val="auto"/>
              </w:rPr>
            </w:pPr>
            <w:r>
              <w:rPr>
                <w:rFonts w:ascii="Arial" w:cs="Arial" w:eastAsia="Arial" w:hAnsi="Arial"/>
                <w:sz w:val="13"/>
                <w:szCs w:val="13"/>
                <w:b w:val="1"/>
                <w:bCs w:val="1"/>
                <w:color w:val="auto"/>
              </w:rPr>
              <w:t>Years</w:t>
            </w:r>
          </w:p>
        </w:tc>
        <w:tc>
          <w:tcPr>
            <w:tcW w:w="140" w:type="dxa"/>
            <w:vAlign w:val="bottom"/>
          </w:tcPr>
          <w:p>
            <w:pPr>
              <w:spacing w:after="0"/>
              <w:rPr>
                <w:sz w:val="15"/>
                <w:szCs w:val="15"/>
                <w:color w:val="auto"/>
              </w:rPr>
            </w:pPr>
          </w:p>
        </w:tc>
        <w:tc>
          <w:tcPr>
            <w:tcW w:w="1100" w:type="dxa"/>
            <w:vAlign w:val="bottom"/>
            <w:gridSpan w:val="2"/>
          </w:tcPr>
          <w:p>
            <w:pPr>
              <w:jc w:val="center"/>
              <w:ind w:left="233"/>
              <w:spacing w:after="0"/>
              <w:rPr>
                <w:sz w:val="20"/>
                <w:szCs w:val="20"/>
                <w:color w:val="auto"/>
              </w:rPr>
            </w:pPr>
            <w:r>
              <w:rPr>
                <w:rFonts w:ascii="Arial" w:cs="Arial" w:eastAsia="Arial" w:hAnsi="Arial"/>
                <w:sz w:val="13"/>
                <w:szCs w:val="13"/>
                <w:b w:val="1"/>
                <w:bCs w:val="1"/>
                <w:color w:val="auto"/>
                <w:w w:val="95"/>
              </w:rPr>
              <w:t>5 Years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63"/>
              <w:spacing w:after="0"/>
              <w:rPr>
                <w:sz w:val="20"/>
                <w:szCs w:val="20"/>
                <w:color w:val="auto"/>
              </w:rPr>
            </w:pPr>
            <w:r>
              <w:rPr>
                <w:rFonts w:ascii="Arial" w:cs="Arial" w:eastAsia="Arial" w:hAnsi="Arial"/>
                <w:sz w:val="13"/>
                <w:szCs w:val="13"/>
                <w:b w:val="1"/>
                <w:bCs w:val="1"/>
                <w:color w:val="auto"/>
                <w:w w:val="94"/>
              </w:rPr>
              <w:t>Collateral</w:t>
            </w: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grade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926</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0" w:type="dxa"/>
            <w:vAlign w:val="bottom"/>
            <w:gridSpan w:val="2"/>
            <w:shd w:val="clear" w:color="auto" w:fill="CCEEFF"/>
          </w:tcPr>
          <w:p>
            <w:pPr>
              <w:jc w:val="right"/>
              <w:ind w:right="493"/>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958</w:t>
            </w:r>
          </w:p>
        </w:tc>
      </w:tr>
      <w:tr>
        <w:trPr>
          <w:trHeight w:val="224"/>
        </w:trPr>
        <w:tc>
          <w:tcPr>
            <w:tcW w:w="5120" w:type="dxa"/>
            <w:vAlign w:val="bottom"/>
          </w:tcPr>
          <w:p>
            <w:pPr>
              <w:ind w:left="20"/>
              <w:spacing w:after="0"/>
              <w:rPr>
                <w:sz w:val="20"/>
                <w:szCs w:val="20"/>
                <w:color w:val="auto"/>
              </w:rPr>
            </w:pPr>
            <w:r>
              <w:rPr>
                <w:rFonts w:ascii="Arial" w:cs="Arial" w:eastAsia="Arial" w:hAnsi="Arial"/>
                <w:sz w:val="16"/>
                <w:szCs w:val="16"/>
                <w:color w:val="auto"/>
              </w:rPr>
              <w:t>Non-investment grade</w:t>
            </w:r>
          </w:p>
        </w:tc>
        <w:tc>
          <w:tcPr>
            <w:tcW w:w="2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15</w:t>
            </w:r>
          </w:p>
        </w:tc>
      </w:tr>
      <w:tr>
        <w:trPr>
          <w:trHeight w:val="3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 external ratings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23"/>
        </w:trPr>
        <w:tc>
          <w:tcPr>
            <w:tcW w:w="5120" w:type="dxa"/>
            <w:vAlign w:val="bottom"/>
          </w:tcPr>
          <w:p>
            <w:pPr>
              <w:ind w:left="360"/>
              <w:spacing w:after="0"/>
              <w:rPr>
                <w:sz w:val="20"/>
                <w:szCs w:val="20"/>
                <w:color w:val="auto"/>
              </w:rPr>
            </w:pPr>
            <w:r>
              <w:rPr>
                <w:rFonts w:ascii="Arial" w:cs="Arial" w:eastAsia="Arial" w:hAnsi="Arial"/>
                <w:sz w:val="16"/>
                <w:szCs w:val="16"/>
                <w:color w:val="auto"/>
              </w:rPr>
              <w:t>Internally rated—investment grade</w:t>
            </w:r>
          </w:p>
        </w:tc>
        <w:tc>
          <w:tcPr>
            <w:tcW w:w="2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117</w:t>
            </w:r>
          </w:p>
        </w:tc>
      </w:tr>
      <w:tr>
        <w:trPr>
          <w:trHeight w:val="3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Internally rated—non-investment grade</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258</w:t>
            </w:r>
          </w:p>
        </w:tc>
      </w:tr>
      <w:tr>
        <w:trPr>
          <w:trHeight w:val="230"/>
        </w:trPr>
        <w:tc>
          <w:tcPr>
            <w:tcW w:w="512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20"/>
                <w:szCs w:val="20"/>
                <w:color w:val="auto"/>
              </w:rPr>
            </w:pPr>
          </w:p>
        </w:tc>
        <w:tc>
          <w:tcPr>
            <w:tcW w:w="6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1,348</w:t>
            </w:r>
          </w:p>
        </w:tc>
      </w:tr>
      <w:tr>
        <w:trPr>
          <w:trHeight w:val="27"/>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458"/>
        </w:trPr>
        <w:tc>
          <w:tcPr>
            <w:tcW w:w="5120" w:type="dxa"/>
            <w:vAlign w:val="bottom"/>
          </w:tcPr>
          <w:p>
            <w:pPr>
              <w:ind w:left="20"/>
              <w:spacing w:after="0"/>
              <w:rPr>
                <w:sz w:val="20"/>
                <w:szCs w:val="20"/>
                <w:color w:val="auto"/>
              </w:rPr>
            </w:pPr>
            <w:r>
              <w:rPr>
                <w:rFonts w:ascii="Arial" w:cs="Arial" w:eastAsia="Arial" w:hAnsi="Arial"/>
                <w:sz w:val="13"/>
                <w:szCs w:val="13"/>
                <w:b w:val="1"/>
                <w:bCs w:val="1"/>
                <w:color w:val="auto"/>
              </w:rPr>
              <w:t>Net Credit Exposure by Type of Counterparty</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jc w:val="right"/>
              <w:ind w:right="583"/>
              <w:spacing w:after="0"/>
              <w:rPr>
                <w:sz w:val="20"/>
                <w:szCs w:val="20"/>
                <w:color w:val="auto"/>
              </w:rPr>
            </w:pPr>
            <w:r>
              <w:rPr>
                <w:rFonts w:ascii="Arial" w:cs="Arial" w:eastAsia="Arial" w:hAnsi="Arial"/>
                <w:sz w:val="13"/>
                <w:szCs w:val="13"/>
                <w:b w:val="1"/>
                <w:bCs w:val="1"/>
                <w:color w:val="auto"/>
                <w:w w:val="96"/>
              </w:rPr>
              <w:t>As of June 30, 2023</w:t>
            </w:r>
          </w:p>
        </w:tc>
      </w:tr>
      <w:tr>
        <w:trPr>
          <w:trHeight w:val="22"/>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Investor-owned utilities, marketers, power producers</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1,004</w:t>
            </w: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color w:val="auto"/>
              </w:rPr>
              <w:t>Energy cooperatives and municipalities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115</w:t>
            </w:r>
          </w:p>
        </w:tc>
      </w:tr>
      <w:tr>
        <w:trPr>
          <w:trHeight w:val="25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Institutions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33</w:t>
            </w:r>
          </w:p>
        </w:tc>
      </w:tr>
      <w:tr>
        <w:trPr>
          <w:trHeight w:val="223"/>
        </w:trPr>
        <w:tc>
          <w:tcPr>
            <w:tcW w:w="512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98</w:t>
            </w:r>
          </w:p>
        </w:tc>
      </w:tr>
      <w:tr>
        <w:trPr>
          <w:trHeight w:val="33"/>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1,250</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Credit-Risk-Related Contingent Features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part of the normal course of business, we routinely enter into physical or financial contracts for the sale and purchase of electricity, natural gas, and other commodities. In accordance with the contracts and applicable law, if we are downgraded by a credit rating agency, especially if such downgrade is to a level below investment grade, it is possible that a counterparty would attempt to rely on such a downgrade as a basis for making a demand for adequate assurance of future performance. Depending on our net position with a counterparty, the demand could be for the posting of collateral. In the absence of expressly agreed-to provisions that specify the collateral that must be provided, collateral requested will be a function of the facts and circumstances of the situation at the time of the demand. See Note 10 — Derivative Financial Instruments of the Combined Notes to Consolidated Financial Statements for additional information regarding collateral requirements and Note 13 — Commitments and Contingencies of the Combined Notes to Consolidated Financial Statements for additional information regarding the letters of credit supporting the cash collateral.</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transact output through bilateral contracts. The bilateral contracts are subject to credit risk, which relates to the ability of counterparties to meet their contractual payment obligations. Any failure to collect these payments from counterparties could have a material impact on our consolidated financial statements. As market prices rise above or fall below contracted price levels, we are required to post collateral with purchasers; as market prices fall below contracted price levels, counterparties are required to post collateral with us. To post collateral, we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depend on access to bank credit facilities, which serve as liquidity sources to fund collateral requirements. See ITEM 2. MANAGEMENT'S DISCUSSION AND ANALYSIS OF FINANCIAL CONDITION AND RESULTS OF OPERATIONS, Liquidity and Capital Resources — Credit Matters and Cash Requirements</w:t>
      </w:r>
    </w:p>
    <w:p>
      <w:pPr>
        <w:spacing w:after="0"/>
        <w:rPr>
          <w:sz w:val="20"/>
          <w:szCs w:val="20"/>
          <w:color w:val="auto"/>
        </w:rPr>
      </w:pPr>
      <w:r>
        <w:rPr>
          <w:rFonts w:ascii="Arial" w:cs="Arial" w:eastAsia="Arial" w:hAnsi="Arial"/>
          <w:sz w:val="16"/>
          <w:szCs w:val="16"/>
          <w:color w:val="auto"/>
        </w:rPr>
        <w:t>— Credit Facilities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RTOs and ISOs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participate in all, or some, of the established, wholesale spot energy markets that are administered by PJM, ISO-NE, NYISO, CAISO, MISO, SPP, AESO, OIESO, and ERCOT. ERCOT is not subject to regulation by FERC but performs a similar function in Texas to that performed by RTOs in markets regulated by FERC. In these areas, power is traded through bilateral agreements between buyers and sellers and on the spot energy markets that are administered by the RTOs or ISOs, as applicable. In areas where there is no spot energy market, electricity is purchased and sold solely through bilateral agreements. For sales into the spot markets administered by an RTO or ISO, the RTO or ISO maintains financial assurance policies that are established and enforced by those administrators. The credit policies of the RTOs and ISOs may, under certain circumstances, require that losses arising from the default of one member on spot energy market transactions be shared by the remaining participants. Non-performance or non-payment by a major counterparty could result in a material adverse impact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Traded Transactions</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enter into commodity transactions on NYMEX, ICE, NASDAQ, NGX, and the Nodal exchange (Exchanges). The Exchange clearinghouses act as the counterparty to each trade. Transactions on the Exchanges must adhere to comprehensive collateral and margining requirements. As a result, transactions on Exchanges are significantly collateralized and have limited counterparty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and Foreign Exchange Risk</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use a combination of fixed-rate and variable-rate debt to manage interest rate exposure. We may also utilize interest rate swaps to manage our interest rate exposure. A hypothetical 50 basis point increase in the interest rates associated with unhedged variable-rate debt (excluding Commercial Paper) and fixed-to-floating swaps would not result in a material decrease in our pre-tax income for the six months ended June 30, 2023. To manage foreign exchange rate exposure associated with international energy purchases in currencies other than U.S. dollars, we utilize foreign currency derivatives, which are typically designated as economic hedges. See Note 10 — Derivative Financial Instruments of the Combined Notes to Consolidated Financial Statements for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Price Risk</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maintain trust funds, as required by the NRC, to fund the costs of decommissioning our nuclear plants. Our NDT funds are reflected at fair value in the Consolidated Balance Sheets. The mix of securities in the trust funds is designed to provide returns to be used to fund decommissioning and to compensate us for inflationary increases in decommissioning costs; however, the equity securities in the trust funds are exposed to price fluctuations in equity markets, and the value of fixed-rate, fixed-income securities are exposed to changes in interest rates. We actively monitor the investment performance of the trust funds and periodically review asset allocations in accordance with our NDT fund investment policy. A hypothetical 25 basis points increase in interest rates and 10% decrease in equity prices would result in a $787 million reduction in the fair value of the trust assets as of June 30, 2023. This calculation holds all other variables constant and assumes only the discussed changes in interest rates and equity prices. See Liquidity and Capital Resources section of ITEM</w:t>
      </w:r>
    </w:p>
    <w:p>
      <w:pPr>
        <w:spacing w:after="0" w:line="4"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MANAGEMENT'S DISCUSSION AND ANALYSIS OF FINANCIAL CONDITION AND RESULTS OF OPERATIONS for additional information.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During the second quarter of 2023, our principal executive officer and principal financial officer, evaluated the effectiveness of our disclosure controls and procedures related to the recording, processing, summarizing, and reporting of information in periodic reports that we file or submit with the SEC. These disclosure controls and procedures have been designed to ensure that (a) information relating to our consolidated subsidiaries, is accumulated and made known to our management, including our principal executive officer and principal financial officer, by other employees as appropriate to allow timely decisions regarding required disclosure, and (b) this information is recorded, processed, summarized, and reported, as applicable, within the time periods specified in the SEC's rules and forms. Due to the inherent limitations of control systems, not all misstatements may be detected. These inherent limitations include the realities that judgments in decision-making can be faulty and that breakdowns can occur because of simple error or mistake. Additionally, controls could be circumvented by the individual acts of some persons or by collusion of two or more people.</w:t>
      </w:r>
    </w:p>
    <w:p>
      <w:pPr>
        <w:spacing w:after="0" w:line="13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Accordingly, as of June 30, 2023, our principal executive officer and principal financial officer concluded that our disclosure controls and procedures were effective to accomplish their objectives.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continually strive to improve our disclosure controls and procedures to enhance the quality of our financial reporting and to maintain dynamic systems that change as conditions warrant. There have been no changes in internal control over financial reporting that occurred during the second quarter of 2023 that have materially affected, or are reasonably likely to materially affect, any of our internal control over financial reporting.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millions except per share data,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9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parties to various lawsuits and regulatory proceedings in the ordinary course of business. For information regarding material lawsuits and proceedings, see Note 3 — Regulatory Matters and Note 13 — Commitments and Contingencies of the Combined Notes to Consolidated Financial Statements in PART I, ITEM 1. FINANCIAL STATEMENTS of this report. Such descriptions are incorporated herein by these references.</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At June 30, 2023, our risk factors were consistent with the risk factors described in our 2022 Form 10-K in ITEM 1A. RISK FACTORS.</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 (CEG Parent)</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February 16, 2023, as part of our capital allocation plan, our Board of Directors announced a share repurchase program with a $1 billion authority without expiration. Share repurchases may be made through a variety of methods, which may include open market or privately negotiated transactions, provided that the amounts spent do not exceed what is authorized. Any repurchased shares are constructively retired and cancelled. The program does not obligate us to acquire a minimum number of shares during any period and our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541020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repurchase of CEG's common stock may be limited, suspended, or discontinued at any time at our discretion and without prior notice. Repurchases under this program commenced in March 2023.</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our share repurchases under the program during the three months ended June 30,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Approximate Dollar Value of Shares</w:t>
            </w:r>
          </w:p>
        </w:tc>
      </w:tr>
      <w:tr>
        <w:trPr>
          <w:trHeight w:val="154"/>
        </w:trPr>
        <w:tc>
          <w:tcPr>
            <w:tcW w:w="42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ind w:right="25"/>
              <w:spacing w:after="0"/>
              <w:rPr>
                <w:sz w:val="20"/>
                <w:szCs w:val="20"/>
                <w:color w:val="auto"/>
              </w:rPr>
            </w:pPr>
            <w:r>
              <w:rPr>
                <w:rFonts w:ascii="Arial" w:cs="Arial" w:eastAsia="Arial" w:hAnsi="Arial"/>
                <w:sz w:val="13"/>
                <w:szCs w:val="13"/>
                <w:b w:val="1"/>
                <w:bCs w:val="1"/>
                <w:color w:val="auto"/>
                <w:w w:val="96"/>
              </w:rPr>
              <w:t>that May Yet Be Purchased Under</w:t>
            </w:r>
          </w:p>
        </w:tc>
      </w:tr>
      <w:tr>
        <w:trPr>
          <w:trHeight w:val="20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Period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4"/>
              </w:rPr>
              <w:t>Total Number of Shares Purchased</w:t>
            </w:r>
            <w:r>
              <w:rPr>
                <w:rFonts w:ascii="Arial" w:cs="Arial" w:eastAsia="Arial" w:hAnsi="Arial"/>
                <w:sz w:val="16"/>
                <w:szCs w:val="16"/>
                <w:b w:val="1"/>
                <w:bCs w:val="1"/>
                <w:color w:val="auto"/>
                <w:w w:val="94"/>
                <w:vertAlign w:val="superscript"/>
              </w:rPr>
              <w:t>(a)</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w w:val="96"/>
              </w:rPr>
              <w:t>Average Price Paid per Share</w:t>
            </w:r>
            <w:r>
              <w:rPr>
                <w:rFonts w:ascii="Arial" w:cs="Arial" w:eastAsia="Arial" w:hAnsi="Arial"/>
                <w:sz w:val="16"/>
                <w:szCs w:val="16"/>
                <w:b w:val="1"/>
                <w:bCs w:val="1"/>
                <w:color w:val="auto"/>
                <w:w w:val="96"/>
                <w:vertAlign w:val="superscript"/>
              </w:rPr>
              <w:t>(b)</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4"/>
              </w:rPr>
              <w:t>the Programs</w:t>
            </w:r>
            <w:r>
              <w:rPr>
                <w:rFonts w:ascii="Arial" w:cs="Arial" w:eastAsia="Arial" w:hAnsi="Arial"/>
                <w:sz w:val="16"/>
                <w:szCs w:val="16"/>
                <w:b w:val="1"/>
                <w:bCs w:val="1"/>
                <w:color w:val="auto"/>
                <w:w w:val="94"/>
                <w:vertAlign w:val="superscript"/>
              </w:rPr>
              <w:t>(c)</w:t>
            </w:r>
          </w:p>
        </w:tc>
      </w:tr>
      <w:tr>
        <w:trPr>
          <w:trHeight w:val="237"/>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2023 to April 30, 2023</w:t>
            </w:r>
          </w:p>
        </w:tc>
        <w:tc>
          <w:tcPr>
            <w:tcW w:w="2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749,000,000</w:t>
            </w: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May 1, 2023 to May 31, 2023</w:t>
            </w:r>
          </w:p>
        </w:tc>
        <w:tc>
          <w:tcPr>
            <w:tcW w:w="2240" w:type="dxa"/>
            <w:vAlign w:val="bottom"/>
          </w:tcPr>
          <w:p>
            <w:pPr>
              <w:jc w:val="right"/>
              <w:ind w:right="3"/>
              <w:spacing w:after="0"/>
              <w:rPr>
                <w:sz w:val="20"/>
                <w:szCs w:val="20"/>
                <w:color w:val="auto"/>
              </w:rPr>
            </w:pPr>
            <w:r>
              <w:rPr>
                <w:rFonts w:ascii="Arial" w:cs="Arial" w:eastAsia="Arial" w:hAnsi="Arial"/>
                <w:sz w:val="16"/>
                <w:szCs w:val="16"/>
                <w:color w:val="auto"/>
              </w:rPr>
              <w:t>1,946,361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3"/>
              <w:spacing w:after="0"/>
              <w:rPr>
                <w:sz w:val="20"/>
                <w:szCs w:val="20"/>
                <w:color w:val="auto"/>
              </w:rPr>
            </w:pPr>
            <w:r>
              <w:rPr>
                <w:rFonts w:ascii="Arial" w:cs="Arial" w:eastAsia="Arial" w:hAnsi="Arial"/>
                <w:sz w:val="16"/>
                <w:szCs w:val="16"/>
                <w:color w:val="auto"/>
              </w:rPr>
              <w:t>80.89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5"/>
              <w:spacing w:after="0"/>
              <w:rPr>
                <w:sz w:val="20"/>
                <w:szCs w:val="20"/>
                <w:color w:val="auto"/>
              </w:rPr>
            </w:pPr>
            <w:r>
              <w:rPr>
                <w:rFonts w:ascii="Arial" w:cs="Arial" w:eastAsia="Arial" w:hAnsi="Arial"/>
                <w:sz w:val="16"/>
                <w:szCs w:val="16"/>
                <w:color w:val="auto"/>
              </w:rPr>
              <w:t>590,000,000</w:t>
            </w:r>
          </w:p>
        </w:tc>
      </w:tr>
      <w:tr>
        <w:trPr>
          <w:trHeight w:val="33"/>
        </w:trPr>
        <w:tc>
          <w:tcPr>
            <w:tcW w:w="4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2023 to June 30, 2023</w:t>
            </w:r>
          </w:p>
        </w:tc>
        <w:tc>
          <w:tcPr>
            <w:tcW w:w="2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1,011,889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91.40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497,000,000</w:t>
            </w:r>
          </w:p>
        </w:tc>
      </w:tr>
      <w:tr>
        <w:trPr>
          <w:trHeight w:val="230"/>
        </w:trPr>
        <w:tc>
          <w:tcPr>
            <w:tcW w:w="4280" w:type="dxa"/>
            <w:vAlign w:val="bottom"/>
          </w:tcPr>
          <w:p>
            <w:pPr>
              <w:ind w:left="20"/>
              <w:spacing w:after="0"/>
              <w:rPr>
                <w:sz w:val="20"/>
                <w:szCs w:val="20"/>
                <w:color w:val="auto"/>
              </w:rPr>
            </w:pPr>
            <w:r>
              <w:rPr>
                <w:rFonts w:ascii="Arial" w:cs="Arial" w:eastAsia="Arial" w:hAnsi="Arial"/>
                <w:sz w:val="16"/>
                <w:szCs w:val="16"/>
                <w:color w:val="auto"/>
              </w:rPr>
              <w:t>Total</w:t>
            </w:r>
          </w:p>
        </w:tc>
        <w:tc>
          <w:tcPr>
            <w:tcW w:w="2240" w:type="dxa"/>
            <w:vAlign w:val="bottom"/>
          </w:tcPr>
          <w:p>
            <w:pPr>
              <w:jc w:val="right"/>
              <w:ind w:right="3"/>
              <w:spacing w:after="0"/>
              <w:rPr>
                <w:sz w:val="20"/>
                <w:szCs w:val="20"/>
                <w:color w:val="auto"/>
              </w:rPr>
            </w:pPr>
            <w:r>
              <w:rPr>
                <w:rFonts w:ascii="Arial" w:cs="Arial" w:eastAsia="Arial" w:hAnsi="Arial"/>
                <w:sz w:val="16"/>
                <w:szCs w:val="16"/>
                <w:color w:val="auto"/>
              </w:rPr>
              <w:t>2,958,250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3"/>
              <w:spacing w:after="0"/>
              <w:rPr>
                <w:sz w:val="20"/>
                <w:szCs w:val="20"/>
                <w:color w:val="auto"/>
              </w:rPr>
            </w:pPr>
            <w:r>
              <w:rPr>
                <w:rFonts w:ascii="Arial" w:cs="Arial" w:eastAsia="Arial" w:hAnsi="Arial"/>
                <w:sz w:val="16"/>
                <w:szCs w:val="16"/>
                <w:color w:val="auto"/>
              </w:rPr>
              <w:t>84.49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5"/>
              <w:spacing w:after="0"/>
              <w:rPr>
                <w:sz w:val="20"/>
                <w:szCs w:val="20"/>
                <w:color w:val="auto"/>
              </w:rPr>
            </w:pPr>
            <w:r>
              <w:rPr>
                <w:rFonts w:ascii="Arial" w:cs="Arial" w:eastAsia="Arial" w:hAnsi="Arial"/>
                <w:sz w:val="16"/>
                <w:szCs w:val="16"/>
                <w:color w:val="auto"/>
              </w:rPr>
              <w:t>497,000,000</w:t>
            </w:r>
          </w:p>
        </w:tc>
      </w:tr>
      <w:tr>
        <w:trPr>
          <w:trHeight w:val="27"/>
        </w:trPr>
        <w:tc>
          <w:tcPr>
            <w:tcW w:w="4280" w:type="dxa"/>
            <w:vAlign w:val="bottom"/>
          </w:tcPr>
          <w:p>
            <w:pPr>
              <w:spacing w:after="0"/>
              <w:rPr>
                <w:sz w:val="2"/>
                <w:szCs w:val="2"/>
                <w:color w:val="auto"/>
              </w:rPr>
            </w:pPr>
          </w:p>
        </w:tc>
        <w:tc>
          <w:tcPr>
            <w:tcW w:w="2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140" w:type="dxa"/>
            <w:vAlign w:val="bottom"/>
            <w:tcBorders>
              <w:top w:val="single" w:sz="8" w:color="auto"/>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have not made any purchases of shares other than in connection with the publicly announced share repurchase program described above.</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Average price paid per share for open market transactions excludes taxes and commissions.</w:t>
      </w:r>
    </w:p>
    <w:p>
      <w:pPr>
        <w:spacing w:after="0" w:line="4" w:lineRule="exact"/>
        <w:rPr>
          <w:rFonts w:ascii="Arial" w:cs="Arial" w:eastAsia="Arial" w:hAnsi="Arial"/>
          <w:sz w:val="14"/>
          <w:szCs w:val="14"/>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Approximate dollar value of shares that may yet be purchased under the program includes taxes and commissions.</w:t>
      </w:r>
    </w:p>
    <w:p>
      <w:pPr>
        <w:spacing w:after="0" w:line="27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During the three months ended June 30, 2023,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Certain of the following exhibits are incorporated herein by reference under Rule 12b-32 of the Securities and Exchange Act of 1934, as amended. Certain other instruments which would otherwise be required to be listed below have not been so listed because such instruments do not authorize securities in an amount which exceeds 10% of the total assets of the applicable registrant and its subsidiaries on a consolidated basis and the relevant registrant agrees to furnish a copy of any such instrument to the Commission upon request.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916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700" w:type="dxa"/>
            <w:vAlign w:val="bottom"/>
            <w:vMerge w:val="restart"/>
          </w:tcPr>
          <w:p>
            <w:pPr>
              <w:spacing w:after="0"/>
              <w:rPr>
                <w:sz w:val="22"/>
                <w:szCs w:val="22"/>
                <w:color w:val="auto"/>
              </w:rPr>
            </w:pPr>
          </w:p>
        </w:tc>
        <w:tc>
          <w:tcPr>
            <w:tcW w:w="9160" w:type="dxa"/>
            <w:vAlign w:val="bottom"/>
            <w:gridSpan w:val="2"/>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160" w:type="dxa"/>
            <w:vAlign w:val="bottom"/>
            <w:gridSpan w:val="2"/>
            <w:vMerge w:val="restart"/>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9160" w:type="dxa"/>
            <w:vAlign w:val="bottom"/>
            <w:gridSpan w:val="2"/>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9160" w:type="dxa"/>
            <w:vAlign w:val="bottom"/>
            <w:gridSpan w:val="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9160" w:type="dxa"/>
            <w:vAlign w:val="bottom"/>
            <w:gridSpan w:val="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9160" w:type="dxa"/>
            <w:vAlign w:val="bottom"/>
            <w:gridSpan w:val="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9160" w:type="dxa"/>
            <w:vAlign w:val="bottom"/>
            <w:gridSpan w:val="2"/>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68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700" w:type="dxa"/>
            <w:vAlign w:val="bottom"/>
          </w:tcPr>
          <w:p>
            <w:pPr>
              <w:spacing w:after="0"/>
              <w:rPr>
                <w:sz w:val="23"/>
                <w:szCs w:val="23"/>
                <w:color w:val="auto"/>
              </w:rPr>
            </w:pPr>
          </w:p>
        </w:tc>
        <w:tc>
          <w:tcPr>
            <w:tcW w:w="9160" w:type="dxa"/>
            <w:vAlign w:val="bottom"/>
            <w:gridSpan w:val="2"/>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298"/>
        </w:trPr>
        <w:tc>
          <w:tcPr>
            <w:tcW w:w="1380" w:type="dxa"/>
            <w:vAlign w:val="bottom"/>
            <w:gridSpan w:val="3"/>
          </w:tcPr>
          <w:p>
            <w:pPr>
              <w:spacing w:after="0"/>
              <w:rPr>
                <w:sz w:val="20"/>
                <w:szCs w:val="20"/>
                <w:color w:val="auto"/>
              </w:rPr>
            </w:pPr>
            <w:r>
              <w:rPr>
                <w:rFonts w:ascii="Arial" w:cs="Arial" w:eastAsia="Arial" w:hAnsi="Arial"/>
                <w:sz w:val="18"/>
                <w:szCs w:val="18"/>
                <w:color w:val="auto"/>
              </w:rPr>
              <w:t>__________</w:t>
            </w:r>
          </w:p>
        </w:tc>
        <w:tc>
          <w:tcPr>
            <w:tcW w:w="68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80" w:type="dxa"/>
            <w:vAlign w:val="bottom"/>
            <w:gridSpan w:val="3"/>
          </w:tcPr>
          <w:p>
            <w:pPr>
              <w:spacing w:after="0"/>
              <w:rPr>
                <w:sz w:val="20"/>
                <w:szCs w:val="20"/>
                <w:color w:val="auto"/>
              </w:rPr>
            </w:pPr>
            <w:r>
              <w:rPr>
                <w:rFonts w:ascii="Arial" w:cs="Arial" w:eastAsia="Arial" w:hAnsi="Arial"/>
                <w:sz w:val="14"/>
                <w:szCs w:val="14"/>
                <w:color w:val="auto"/>
              </w:rPr>
              <w:t>* Filed herewith.</w:t>
            </w:r>
          </w:p>
        </w:tc>
        <w:tc>
          <w:tcPr>
            <w:tcW w:w="68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20" w:right="20"/>
        <w:spacing w:after="0" w:line="293" w:lineRule="auto"/>
        <w:rPr>
          <w:sz w:val="20"/>
          <w:szCs w:val="20"/>
          <w:color w:val="auto"/>
        </w:rPr>
      </w:pPr>
      <w:r>
        <w:rPr>
          <w:rFonts w:ascii="Arial" w:cs="Arial" w:eastAsia="Arial" w:hAnsi="Arial"/>
          <w:sz w:val="16"/>
          <w:szCs w:val="16"/>
          <w:color w:val="auto"/>
        </w:rPr>
        <w:t>Certifications Pursuant to Rule 13a-14(a) and 15d-14(a) of the Securities and Exchange Act of 1934 as to the Quarterly Report on Form 10-Q for the quarterly period ended June 30, 2023 filed by the following officers for the following companies: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4"/>
              </w:rPr>
              <w:t>Exhibit No.</w:t>
            </w:r>
          </w:p>
        </w:tc>
        <w:tc>
          <w:tcPr>
            <w:tcW w:w="700" w:type="dxa"/>
            <w:vAlign w:val="bottom"/>
          </w:tcPr>
          <w:p>
            <w:pPr>
              <w:spacing w:after="0"/>
              <w:rPr>
                <w:sz w:val="12"/>
                <w:szCs w:val="12"/>
                <w:color w:val="auto"/>
              </w:rPr>
            </w:pPr>
          </w:p>
        </w:tc>
        <w:tc>
          <w:tcPr>
            <w:tcW w:w="5000" w:type="dxa"/>
            <w:vAlign w:val="bottom"/>
            <w:gridSpan w:val="5"/>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31-1</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Filed by Joseph Dominguez for Constellation Energy Corporation</w:t>
            </w:r>
          </w:p>
        </w:tc>
        <w:tc>
          <w:tcPr>
            <w:tcW w:w="340" w:type="dxa"/>
            <w:vAlign w:val="bottom"/>
            <w:gridSpan w:val="2"/>
          </w:tcPr>
          <w:p>
            <w:pPr>
              <w:spacing w:after="0"/>
              <w:rPr>
                <w:sz w:val="19"/>
                <w:szCs w:val="19"/>
                <w:color w:val="auto"/>
              </w:rPr>
            </w:pPr>
          </w:p>
        </w:tc>
      </w:tr>
      <w:tr>
        <w:trPr>
          <w:trHeight w:val="290"/>
        </w:trPr>
        <w:tc>
          <w:tcPr>
            <w:tcW w:w="340" w:type="dxa"/>
            <w:vAlign w:val="bottom"/>
          </w:tcPr>
          <w:p>
            <w:pPr>
              <w:spacing w:after="0"/>
              <w:rPr>
                <w:sz w:val="20"/>
                <w:szCs w:val="20"/>
                <w:color w:val="auto"/>
              </w:rPr>
            </w:pPr>
            <w:r>
              <w:rPr>
                <w:rFonts w:ascii="Arial" w:cs="Arial" w:eastAsia="Arial" w:hAnsi="Arial"/>
                <w:sz w:val="16"/>
                <w:szCs w:val="16"/>
                <w:color w:val="0000FF"/>
                <w:w w:val="99"/>
              </w:rPr>
              <w:t>31-2</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Arial" w:cs="Arial" w:eastAsia="Arial" w:hAnsi="Arial"/>
                <w:sz w:val="16"/>
                <w:szCs w:val="16"/>
                <w:color w:val="0000FF"/>
              </w:rPr>
              <w:t>Filed by Daniel L. Eggers for Constellation Energy Corporation</w:t>
            </w:r>
          </w:p>
        </w:tc>
      </w:tr>
      <w:tr>
        <w:trPr>
          <w:trHeight w:val="20"/>
        </w:trPr>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3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31-3</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Filed by Joseph Dominguez for Constellation Energy Generation, LLC</w:t>
            </w:r>
          </w:p>
        </w:tc>
      </w:tr>
      <w:tr>
        <w:trPr>
          <w:trHeight w:val="277"/>
        </w:trPr>
        <w:tc>
          <w:tcPr>
            <w:tcW w:w="3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31-4</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Filed by Daniel L. Eggers for Constellation Energy Generation, LLC</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Certifications Pursuant to Section 1350 of Chapter 63 of Title 18 United States Code (Sarbanes — Oxley Act of 2002) as to the Quarterly Report on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Form 10-Q for the quarterly period ended June 30, 2023 filed by the following officers for the following companies: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60" w:type="dxa"/>
            <w:vAlign w:val="bottom"/>
            <w:gridSpan w:val="2"/>
          </w:tcPr>
          <w:p>
            <w:pPr>
              <w:spacing w:after="0"/>
              <w:rPr>
                <w:sz w:val="20"/>
                <w:szCs w:val="20"/>
                <w:color w:val="auto"/>
              </w:rPr>
            </w:pPr>
            <w:r>
              <w:rPr>
                <w:rFonts w:ascii="Arial" w:cs="Arial" w:eastAsia="Arial" w:hAnsi="Arial"/>
                <w:sz w:val="13"/>
                <w:szCs w:val="13"/>
                <w:b w:val="1"/>
                <w:bCs w:val="1"/>
                <w:color w:val="auto"/>
                <w:w w:val="94"/>
              </w:rPr>
              <w:t>Exhibit No.</w:t>
            </w:r>
          </w:p>
        </w:tc>
        <w:tc>
          <w:tcPr>
            <w:tcW w:w="700" w:type="dxa"/>
            <w:vAlign w:val="bottom"/>
          </w:tcPr>
          <w:p>
            <w:pPr>
              <w:spacing w:after="0"/>
              <w:rPr>
                <w:sz w:val="12"/>
                <w:szCs w:val="12"/>
                <w:color w:val="auto"/>
              </w:rPr>
            </w:pPr>
          </w:p>
        </w:tc>
        <w:tc>
          <w:tcPr>
            <w:tcW w:w="5000" w:type="dxa"/>
            <w:vAlign w:val="bottom"/>
            <w:gridSpan w:val="5"/>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32-1</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Filed by Joseph Dominguez for Constellation Energy Corporation</w:t>
            </w:r>
          </w:p>
        </w:tc>
        <w:tc>
          <w:tcPr>
            <w:tcW w:w="340" w:type="dxa"/>
            <w:vAlign w:val="bottom"/>
            <w:gridSpan w:val="2"/>
          </w:tcPr>
          <w:p>
            <w:pPr>
              <w:spacing w:after="0"/>
              <w:rPr>
                <w:sz w:val="19"/>
                <w:szCs w:val="19"/>
                <w:color w:val="auto"/>
              </w:rPr>
            </w:pPr>
          </w:p>
        </w:tc>
      </w:tr>
      <w:tr>
        <w:trPr>
          <w:trHeight w:val="277"/>
        </w:trPr>
        <w:tc>
          <w:tcPr>
            <w:tcW w:w="340" w:type="dxa"/>
            <w:vAlign w:val="bottom"/>
          </w:tcPr>
          <w:p>
            <w:pPr>
              <w:spacing w:after="0"/>
              <w:rPr>
                <w:sz w:val="20"/>
                <w:szCs w:val="20"/>
                <w:color w:val="auto"/>
              </w:rPr>
            </w:pPr>
            <w:r>
              <w:rPr>
                <w:rFonts w:ascii="Arial" w:cs="Arial" w:eastAsia="Arial" w:hAnsi="Arial"/>
                <w:sz w:val="16"/>
                <w:szCs w:val="16"/>
                <w:color w:val="0000FF"/>
                <w:w w:val="99"/>
              </w:rPr>
              <w:t>32-2</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gridSpan w:val="5"/>
          </w:tcPr>
          <w:p>
            <w:pPr>
              <w:spacing w:after="0"/>
              <w:rPr>
                <w:sz w:val="20"/>
                <w:szCs w:val="20"/>
                <w:color w:val="auto"/>
              </w:rPr>
            </w:pPr>
            <w:r>
              <w:rPr>
                <w:rFonts w:ascii="Arial" w:cs="Arial" w:eastAsia="Arial" w:hAnsi="Arial"/>
                <w:sz w:val="16"/>
                <w:szCs w:val="16"/>
                <w:color w:val="0000FF"/>
              </w:rPr>
              <w:t>Filed by Daniel L. Eggers for Constellation Energy Corporation</w:t>
            </w:r>
          </w:p>
        </w:tc>
      </w:tr>
      <w:tr>
        <w:trPr>
          <w:trHeight w:val="20"/>
        </w:trPr>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3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32-3</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Filed by Joseph Dominguez for Constellation Energy Generation, LLC</w:t>
            </w:r>
          </w:p>
        </w:tc>
      </w:tr>
      <w:tr>
        <w:trPr>
          <w:trHeight w:val="290"/>
        </w:trPr>
        <w:tc>
          <w:tcPr>
            <w:tcW w:w="3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32-4</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Filed by Daniel L. Eggers for Constellation Energy Generation, LLC</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32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60" w:type="dxa"/>
            <w:vAlign w:val="bottom"/>
            <w:gridSpan w:val="3"/>
          </w:tcPr>
          <w:p>
            <w:pPr>
              <w:ind w:left="2600"/>
              <w:spacing w:after="0"/>
              <w:rPr>
                <w:sz w:val="20"/>
                <w:szCs w:val="20"/>
                <w:color w:val="auto"/>
              </w:rPr>
            </w:pPr>
            <w:r>
              <w:rPr>
                <w:rFonts w:ascii="Arial" w:cs="Arial" w:eastAsia="Arial" w:hAnsi="Arial"/>
                <w:sz w:val="16"/>
                <w:szCs w:val="16"/>
                <w:b w:val="1"/>
                <w:bCs w:val="1"/>
                <w:color w:val="auto"/>
              </w:rPr>
              <w:t>CONSTELLATION ENERGY CORPORATION</w:t>
            </w:r>
          </w:p>
        </w:tc>
        <w:tc>
          <w:tcPr>
            <w:tcW w:w="4960" w:type="dxa"/>
            <w:vAlign w:val="bottom"/>
          </w:tcPr>
          <w:p>
            <w:pPr>
              <w:spacing w:after="0"/>
              <w:rPr>
                <w:sz w:val="19"/>
                <w:szCs w:val="19"/>
                <w:color w:val="auto"/>
              </w:rPr>
            </w:pPr>
          </w:p>
        </w:tc>
      </w:tr>
      <w:tr>
        <w:trPr>
          <w:trHeight w:val="396"/>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JOSEPH DOMINGUEZ</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center"/>
              <w:ind w:right="499"/>
              <w:spacing w:after="0"/>
              <w:rPr>
                <w:sz w:val="20"/>
                <w:szCs w:val="20"/>
                <w:color w:val="auto"/>
              </w:rPr>
            </w:pPr>
            <w:r>
              <w:rPr>
                <w:rFonts w:ascii="Arial" w:cs="Arial" w:eastAsia="Arial" w:hAnsi="Arial"/>
                <w:sz w:val="16"/>
                <w:szCs w:val="16"/>
                <w:color w:val="auto"/>
              </w:rPr>
              <w:t>/s/ DANIEL L. EGGERS</w:t>
            </w:r>
          </w:p>
        </w:tc>
      </w:tr>
      <w:tr>
        <w:trPr>
          <w:trHeight w:val="207"/>
        </w:trPr>
        <w:tc>
          <w:tcPr>
            <w:tcW w:w="6260" w:type="dxa"/>
            <w:vAlign w:val="bottom"/>
            <w:gridSpan w:val="3"/>
          </w:tcPr>
          <w:p>
            <w:pPr>
              <w:jc w:val="center"/>
              <w:ind w:right="700"/>
              <w:spacing w:after="0"/>
              <w:rPr>
                <w:sz w:val="20"/>
                <w:szCs w:val="20"/>
                <w:color w:val="auto"/>
              </w:rPr>
            </w:pPr>
            <w:r>
              <w:rPr>
                <w:rFonts w:ascii="Arial" w:cs="Arial" w:eastAsia="Arial" w:hAnsi="Arial"/>
                <w:sz w:val="16"/>
                <w:szCs w:val="16"/>
                <w:color w:val="auto"/>
              </w:rPr>
              <w:t>Joseph Dominguez</w:t>
            </w:r>
          </w:p>
        </w:tc>
        <w:tc>
          <w:tcPr>
            <w:tcW w:w="4960" w:type="dxa"/>
            <w:vAlign w:val="bottom"/>
          </w:tcPr>
          <w:p>
            <w:pPr>
              <w:jc w:val="center"/>
              <w:ind w:right="499"/>
              <w:spacing w:after="0"/>
              <w:rPr>
                <w:sz w:val="20"/>
                <w:szCs w:val="20"/>
                <w:color w:val="auto"/>
              </w:rPr>
            </w:pPr>
            <w:r>
              <w:rPr>
                <w:rFonts w:ascii="Arial" w:cs="Arial" w:eastAsia="Arial" w:hAnsi="Arial"/>
                <w:sz w:val="16"/>
                <w:szCs w:val="16"/>
                <w:color w:val="auto"/>
                <w:w w:val="99"/>
              </w:rPr>
              <w:t>Daniel L. Eggers</w:t>
            </w:r>
          </w:p>
        </w:tc>
      </w:tr>
      <w:tr>
        <w:trPr>
          <w:trHeight w:val="171"/>
        </w:trPr>
        <w:tc>
          <w:tcPr>
            <w:tcW w:w="6260" w:type="dxa"/>
            <w:vAlign w:val="bottom"/>
            <w:gridSpan w:val="3"/>
          </w:tcPr>
          <w:p>
            <w:pPr>
              <w:jc w:val="center"/>
              <w:ind w:right="700"/>
              <w:spacing w:after="0" w:line="171" w:lineRule="exact"/>
              <w:rPr>
                <w:sz w:val="20"/>
                <w:szCs w:val="20"/>
                <w:color w:val="auto"/>
              </w:rPr>
            </w:pPr>
            <w:r>
              <w:rPr>
                <w:rFonts w:ascii="Arial" w:cs="Arial" w:eastAsia="Arial" w:hAnsi="Arial"/>
                <w:sz w:val="16"/>
                <w:szCs w:val="16"/>
                <w:color w:val="auto"/>
              </w:rPr>
              <w:t>President and Chief Executive Officer</w:t>
            </w:r>
          </w:p>
        </w:tc>
        <w:tc>
          <w:tcPr>
            <w:tcW w:w="4960" w:type="dxa"/>
            <w:vAlign w:val="bottom"/>
          </w:tcPr>
          <w:p>
            <w:pPr>
              <w:jc w:val="center"/>
              <w:ind w:right="499"/>
              <w:spacing w:after="0" w:line="171" w:lineRule="exact"/>
              <w:rPr>
                <w:sz w:val="20"/>
                <w:szCs w:val="20"/>
                <w:color w:val="auto"/>
              </w:rPr>
            </w:pPr>
            <w:r>
              <w:rPr>
                <w:rFonts w:ascii="Arial" w:cs="Arial" w:eastAsia="Arial" w:hAnsi="Arial"/>
                <w:sz w:val="16"/>
                <w:szCs w:val="16"/>
                <w:color w:val="auto"/>
              </w:rPr>
              <w:t>Executive Vice President and Chief Financial Officer</w:t>
            </w:r>
          </w:p>
        </w:tc>
      </w:tr>
      <w:tr>
        <w:trPr>
          <w:trHeight w:val="207"/>
        </w:trPr>
        <w:tc>
          <w:tcPr>
            <w:tcW w:w="6260" w:type="dxa"/>
            <w:vAlign w:val="bottom"/>
            <w:gridSpan w:val="3"/>
          </w:tcPr>
          <w:p>
            <w:pPr>
              <w:jc w:val="center"/>
              <w:ind w:right="700"/>
              <w:spacing w:after="0"/>
              <w:rPr>
                <w:sz w:val="20"/>
                <w:szCs w:val="20"/>
                <w:color w:val="auto"/>
              </w:rPr>
            </w:pPr>
            <w:r>
              <w:rPr>
                <w:rFonts w:ascii="Arial" w:cs="Arial" w:eastAsia="Arial" w:hAnsi="Arial"/>
                <w:sz w:val="16"/>
                <w:szCs w:val="16"/>
                <w:color w:val="auto"/>
              </w:rPr>
              <w:t>(Principal Executive Officer)</w:t>
            </w:r>
          </w:p>
        </w:tc>
        <w:tc>
          <w:tcPr>
            <w:tcW w:w="4960" w:type="dxa"/>
            <w:vAlign w:val="bottom"/>
          </w:tcPr>
          <w:p>
            <w:pPr>
              <w:jc w:val="center"/>
              <w:ind w:right="499"/>
              <w:spacing w:after="0"/>
              <w:rPr>
                <w:sz w:val="20"/>
                <w:szCs w:val="20"/>
                <w:color w:val="auto"/>
              </w:rPr>
            </w:pPr>
            <w:r>
              <w:rPr>
                <w:rFonts w:ascii="Arial" w:cs="Arial" w:eastAsia="Arial" w:hAnsi="Arial"/>
                <w:sz w:val="16"/>
                <w:szCs w:val="16"/>
                <w:color w:val="auto"/>
              </w:rPr>
              <w:t>(Principal Financial Officer)</w:t>
            </w:r>
          </w:p>
        </w:tc>
      </w:tr>
      <w:tr>
        <w:trPr>
          <w:trHeight w:val="489"/>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MATTHEW N. BAUER</w:t>
            </w:r>
          </w:p>
        </w:tc>
        <w:tc>
          <w:tcPr>
            <w:tcW w:w="700" w:type="dxa"/>
            <w:vAlign w:val="bottom"/>
            <w:gridSpan w:val="2"/>
          </w:tcPr>
          <w:p>
            <w:pPr>
              <w:spacing w:after="0"/>
              <w:rPr>
                <w:sz w:val="24"/>
                <w:szCs w:val="24"/>
                <w:color w:val="auto"/>
              </w:rPr>
            </w:pPr>
          </w:p>
        </w:tc>
        <w:tc>
          <w:tcPr>
            <w:tcW w:w="4960" w:type="dxa"/>
            <w:vAlign w:val="bottom"/>
          </w:tcPr>
          <w:p>
            <w:pPr>
              <w:spacing w:after="0"/>
              <w:rPr>
                <w:sz w:val="24"/>
                <w:szCs w:val="24"/>
                <w:color w:val="auto"/>
              </w:rPr>
            </w:pPr>
          </w:p>
        </w:tc>
      </w:tr>
      <w:tr>
        <w:trPr>
          <w:trHeight w:val="207"/>
        </w:trPr>
        <w:tc>
          <w:tcPr>
            <w:tcW w:w="6260" w:type="dxa"/>
            <w:vAlign w:val="bottom"/>
            <w:gridSpan w:val="3"/>
          </w:tcPr>
          <w:p>
            <w:pPr>
              <w:jc w:val="center"/>
              <w:ind w:right="700"/>
              <w:spacing w:after="0"/>
              <w:rPr>
                <w:sz w:val="20"/>
                <w:szCs w:val="20"/>
                <w:color w:val="auto"/>
              </w:rPr>
            </w:pPr>
            <w:r>
              <w:rPr>
                <w:rFonts w:ascii="Arial" w:cs="Arial" w:eastAsia="Arial" w:hAnsi="Arial"/>
                <w:sz w:val="16"/>
                <w:szCs w:val="16"/>
                <w:color w:val="auto"/>
                <w:w w:val="99"/>
              </w:rPr>
              <w:t>Matthew N. Bauer</w:t>
            </w:r>
          </w:p>
        </w:tc>
        <w:tc>
          <w:tcPr>
            <w:tcW w:w="4960" w:type="dxa"/>
            <w:vAlign w:val="bottom"/>
          </w:tcPr>
          <w:p>
            <w:pPr>
              <w:spacing w:after="0"/>
              <w:rPr>
                <w:sz w:val="17"/>
                <w:szCs w:val="17"/>
                <w:color w:val="auto"/>
              </w:rPr>
            </w:pPr>
          </w:p>
        </w:tc>
      </w:tr>
      <w:tr>
        <w:trPr>
          <w:trHeight w:val="171"/>
        </w:trPr>
        <w:tc>
          <w:tcPr>
            <w:tcW w:w="6260" w:type="dxa"/>
            <w:vAlign w:val="bottom"/>
            <w:gridSpan w:val="3"/>
          </w:tcPr>
          <w:p>
            <w:pPr>
              <w:jc w:val="center"/>
              <w:ind w:right="700"/>
              <w:spacing w:after="0" w:line="171" w:lineRule="exact"/>
              <w:rPr>
                <w:sz w:val="20"/>
                <w:szCs w:val="20"/>
                <w:color w:val="auto"/>
              </w:rPr>
            </w:pPr>
            <w:r>
              <w:rPr>
                <w:rFonts w:ascii="Arial" w:cs="Arial" w:eastAsia="Arial" w:hAnsi="Arial"/>
                <w:sz w:val="16"/>
                <w:szCs w:val="16"/>
                <w:color w:val="auto"/>
              </w:rPr>
              <w:t>Senior Vice President and Controller</w:t>
            </w:r>
          </w:p>
        </w:tc>
        <w:tc>
          <w:tcPr>
            <w:tcW w:w="4960" w:type="dxa"/>
            <w:vAlign w:val="bottom"/>
          </w:tcPr>
          <w:p>
            <w:pPr>
              <w:spacing w:after="0"/>
              <w:rPr>
                <w:sz w:val="14"/>
                <w:szCs w:val="14"/>
                <w:color w:val="auto"/>
              </w:rPr>
            </w:pPr>
          </w:p>
        </w:tc>
      </w:tr>
      <w:tr>
        <w:trPr>
          <w:trHeight w:val="207"/>
        </w:trPr>
        <w:tc>
          <w:tcPr>
            <w:tcW w:w="6260" w:type="dxa"/>
            <w:vAlign w:val="bottom"/>
            <w:gridSpan w:val="3"/>
          </w:tcPr>
          <w:p>
            <w:pPr>
              <w:jc w:val="center"/>
              <w:ind w:right="700"/>
              <w:spacing w:after="0"/>
              <w:rPr>
                <w:sz w:val="20"/>
                <w:szCs w:val="20"/>
                <w:color w:val="auto"/>
              </w:rPr>
            </w:pPr>
            <w:r>
              <w:rPr>
                <w:rFonts w:ascii="Arial" w:cs="Arial" w:eastAsia="Arial" w:hAnsi="Arial"/>
                <w:sz w:val="16"/>
                <w:szCs w:val="16"/>
                <w:color w:val="auto"/>
              </w:rPr>
              <w:t>(Principal Accounting Officer)</w:t>
            </w:r>
          </w:p>
        </w:tc>
        <w:tc>
          <w:tcPr>
            <w:tcW w:w="4960" w:type="dxa"/>
            <w:vAlign w:val="bottom"/>
          </w:tcPr>
          <w:p>
            <w:pPr>
              <w:spacing w:after="0"/>
              <w:rPr>
                <w:sz w:val="17"/>
                <w:szCs w:val="17"/>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August 3, 2023</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20" w:type="dxa"/>
            <w:vAlign w:val="bottom"/>
            <w:gridSpan w:val="3"/>
          </w:tcPr>
          <w:p>
            <w:pPr>
              <w:ind w:left="2600"/>
              <w:spacing w:after="0"/>
              <w:rPr>
                <w:sz w:val="20"/>
                <w:szCs w:val="20"/>
                <w:color w:val="auto"/>
              </w:rPr>
            </w:pPr>
            <w:r>
              <w:rPr>
                <w:rFonts w:ascii="Arial" w:cs="Arial" w:eastAsia="Arial" w:hAnsi="Arial"/>
                <w:sz w:val="16"/>
                <w:szCs w:val="16"/>
                <w:b w:val="1"/>
                <w:bCs w:val="1"/>
                <w:color w:val="auto"/>
              </w:rPr>
              <w:t>CONSTELLATION ENERGY GENERATION, LLC</w:t>
            </w:r>
          </w:p>
        </w:tc>
        <w:tc>
          <w:tcPr>
            <w:tcW w:w="4820" w:type="dxa"/>
            <w:vAlign w:val="bottom"/>
          </w:tcPr>
          <w:p>
            <w:pPr>
              <w:spacing w:after="0"/>
              <w:rPr>
                <w:sz w:val="19"/>
                <w:szCs w:val="19"/>
                <w:color w:val="auto"/>
              </w:rPr>
            </w:pPr>
          </w:p>
        </w:tc>
      </w:tr>
      <w:tr>
        <w:trPr>
          <w:trHeight w:val="38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JOSEPH DOMINGUEZ</w:t>
            </w:r>
          </w:p>
        </w:tc>
        <w:tc>
          <w:tcPr>
            <w:tcW w:w="2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color w:val="auto"/>
              </w:rPr>
              <w:t>/s/ DANIEL L. EGGERS</w:t>
            </w:r>
          </w:p>
        </w:tc>
      </w:tr>
      <w:tr>
        <w:trPr>
          <w:trHeight w:val="206"/>
        </w:trPr>
        <w:tc>
          <w:tcPr>
            <w:tcW w:w="6420" w:type="dxa"/>
            <w:vAlign w:val="bottom"/>
            <w:gridSpan w:val="3"/>
          </w:tcPr>
          <w:p>
            <w:pPr>
              <w:jc w:val="center"/>
              <w:ind w:right="880"/>
              <w:spacing w:after="0"/>
              <w:rPr>
                <w:sz w:val="20"/>
                <w:szCs w:val="20"/>
                <w:color w:val="auto"/>
              </w:rPr>
            </w:pPr>
            <w:r>
              <w:rPr>
                <w:rFonts w:ascii="Arial" w:cs="Arial" w:eastAsia="Arial" w:hAnsi="Arial"/>
                <w:sz w:val="16"/>
                <w:szCs w:val="16"/>
                <w:color w:val="auto"/>
              </w:rPr>
              <w:t>Joseph Dominguez</w:t>
            </w:r>
          </w:p>
        </w:tc>
        <w:tc>
          <w:tcPr>
            <w:tcW w:w="4820" w:type="dxa"/>
            <w:vAlign w:val="bottom"/>
          </w:tcPr>
          <w:p>
            <w:pPr>
              <w:jc w:val="center"/>
              <w:ind w:right="579"/>
              <w:spacing w:after="0"/>
              <w:rPr>
                <w:sz w:val="20"/>
                <w:szCs w:val="20"/>
                <w:color w:val="auto"/>
              </w:rPr>
            </w:pPr>
            <w:r>
              <w:rPr>
                <w:rFonts w:ascii="Arial" w:cs="Arial" w:eastAsia="Arial" w:hAnsi="Arial"/>
                <w:sz w:val="16"/>
                <w:szCs w:val="16"/>
                <w:color w:val="auto"/>
              </w:rPr>
              <w:t>Daniel L. Eggers</w:t>
            </w:r>
          </w:p>
        </w:tc>
      </w:tr>
      <w:tr>
        <w:trPr>
          <w:trHeight w:val="171"/>
        </w:trPr>
        <w:tc>
          <w:tcPr>
            <w:tcW w:w="6420" w:type="dxa"/>
            <w:vAlign w:val="bottom"/>
            <w:gridSpan w:val="3"/>
          </w:tcPr>
          <w:p>
            <w:pPr>
              <w:jc w:val="center"/>
              <w:ind w:right="880"/>
              <w:spacing w:after="0" w:line="171" w:lineRule="exact"/>
              <w:rPr>
                <w:sz w:val="20"/>
                <w:szCs w:val="20"/>
                <w:color w:val="auto"/>
              </w:rPr>
            </w:pPr>
            <w:r>
              <w:rPr>
                <w:rFonts w:ascii="Arial" w:cs="Arial" w:eastAsia="Arial" w:hAnsi="Arial"/>
                <w:sz w:val="16"/>
                <w:szCs w:val="16"/>
                <w:color w:val="auto"/>
              </w:rPr>
              <w:t>President and Chief Executive Officer</w:t>
            </w:r>
          </w:p>
        </w:tc>
        <w:tc>
          <w:tcPr>
            <w:tcW w:w="4820" w:type="dxa"/>
            <w:vAlign w:val="bottom"/>
          </w:tcPr>
          <w:p>
            <w:pPr>
              <w:jc w:val="center"/>
              <w:ind w:right="559"/>
              <w:spacing w:after="0" w:line="171" w:lineRule="exact"/>
              <w:rPr>
                <w:sz w:val="20"/>
                <w:szCs w:val="20"/>
                <w:color w:val="auto"/>
              </w:rPr>
            </w:pPr>
            <w:r>
              <w:rPr>
                <w:rFonts w:ascii="Arial" w:cs="Arial" w:eastAsia="Arial" w:hAnsi="Arial"/>
                <w:sz w:val="16"/>
                <w:szCs w:val="16"/>
                <w:color w:val="auto"/>
              </w:rPr>
              <w:t>Executive Vice President and Chief Financial Officer</w:t>
            </w:r>
          </w:p>
        </w:tc>
      </w:tr>
      <w:tr>
        <w:trPr>
          <w:trHeight w:val="207"/>
        </w:trPr>
        <w:tc>
          <w:tcPr>
            <w:tcW w:w="6420" w:type="dxa"/>
            <w:vAlign w:val="bottom"/>
            <w:gridSpan w:val="3"/>
          </w:tcPr>
          <w:p>
            <w:pPr>
              <w:jc w:val="center"/>
              <w:ind w:right="880"/>
              <w:spacing w:after="0"/>
              <w:rPr>
                <w:sz w:val="20"/>
                <w:szCs w:val="20"/>
                <w:color w:val="auto"/>
              </w:rPr>
            </w:pPr>
            <w:r>
              <w:rPr>
                <w:rFonts w:ascii="Arial" w:cs="Arial" w:eastAsia="Arial" w:hAnsi="Arial"/>
                <w:sz w:val="16"/>
                <w:szCs w:val="16"/>
                <w:color w:val="auto"/>
              </w:rPr>
              <w:t>(Principal Executive Officer)</w:t>
            </w:r>
          </w:p>
        </w:tc>
        <w:tc>
          <w:tcPr>
            <w:tcW w:w="4820" w:type="dxa"/>
            <w:vAlign w:val="bottom"/>
          </w:tcPr>
          <w:p>
            <w:pPr>
              <w:jc w:val="center"/>
              <w:ind w:right="559"/>
              <w:spacing w:after="0"/>
              <w:rPr>
                <w:sz w:val="20"/>
                <w:szCs w:val="20"/>
                <w:color w:val="auto"/>
              </w:rPr>
            </w:pPr>
            <w:r>
              <w:rPr>
                <w:rFonts w:ascii="Arial" w:cs="Arial" w:eastAsia="Arial" w:hAnsi="Arial"/>
                <w:sz w:val="16"/>
                <w:szCs w:val="16"/>
                <w:color w:val="auto"/>
              </w:rPr>
              <w:t>(Principal Financial Officer)</w:t>
            </w:r>
          </w:p>
        </w:tc>
      </w:tr>
      <w:tr>
        <w:trPr>
          <w:trHeight w:val="43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MATTHEW N. BAUER</w:t>
            </w:r>
          </w:p>
        </w:tc>
        <w:tc>
          <w:tcPr>
            <w:tcW w:w="900" w:type="dxa"/>
            <w:vAlign w:val="bottom"/>
            <w:gridSpan w:val="2"/>
          </w:tcPr>
          <w:p>
            <w:pPr>
              <w:spacing w:after="0"/>
              <w:rPr>
                <w:sz w:val="24"/>
                <w:szCs w:val="24"/>
                <w:color w:val="auto"/>
              </w:rPr>
            </w:pPr>
          </w:p>
        </w:tc>
        <w:tc>
          <w:tcPr>
            <w:tcW w:w="4820" w:type="dxa"/>
            <w:vAlign w:val="bottom"/>
          </w:tcPr>
          <w:p>
            <w:pPr>
              <w:spacing w:after="0"/>
              <w:rPr>
                <w:sz w:val="24"/>
                <w:szCs w:val="24"/>
                <w:color w:val="auto"/>
              </w:rPr>
            </w:pPr>
          </w:p>
        </w:tc>
      </w:tr>
      <w:tr>
        <w:trPr>
          <w:trHeight w:val="207"/>
        </w:trPr>
        <w:tc>
          <w:tcPr>
            <w:tcW w:w="6420" w:type="dxa"/>
            <w:vAlign w:val="bottom"/>
            <w:gridSpan w:val="3"/>
          </w:tcPr>
          <w:p>
            <w:pPr>
              <w:jc w:val="center"/>
              <w:ind w:right="880"/>
              <w:spacing w:after="0"/>
              <w:rPr>
                <w:sz w:val="20"/>
                <w:szCs w:val="20"/>
                <w:color w:val="auto"/>
              </w:rPr>
            </w:pPr>
            <w:r>
              <w:rPr>
                <w:rFonts w:ascii="Arial" w:cs="Arial" w:eastAsia="Arial" w:hAnsi="Arial"/>
                <w:sz w:val="16"/>
                <w:szCs w:val="16"/>
                <w:color w:val="auto"/>
              </w:rPr>
              <w:t>Matthew N. Bauer</w:t>
            </w:r>
          </w:p>
        </w:tc>
        <w:tc>
          <w:tcPr>
            <w:tcW w:w="4820" w:type="dxa"/>
            <w:vAlign w:val="bottom"/>
          </w:tcPr>
          <w:p>
            <w:pPr>
              <w:spacing w:after="0"/>
              <w:rPr>
                <w:sz w:val="17"/>
                <w:szCs w:val="17"/>
                <w:color w:val="auto"/>
              </w:rPr>
            </w:pPr>
          </w:p>
        </w:tc>
      </w:tr>
      <w:tr>
        <w:trPr>
          <w:trHeight w:val="171"/>
        </w:trPr>
        <w:tc>
          <w:tcPr>
            <w:tcW w:w="6420" w:type="dxa"/>
            <w:vAlign w:val="bottom"/>
            <w:gridSpan w:val="3"/>
          </w:tcPr>
          <w:p>
            <w:pPr>
              <w:jc w:val="center"/>
              <w:ind w:right="880"/>
              <w:spacing w:after="0" w:line="171" w:lineRule="exact"/>
              <w:rPr>
                <w:sz w:val="20"/>
                <w:szCs w:val="20"/>
                <w:color w:val="auto"/>
              </w:rPr>
            </w:pPr>
            <w:r>
              <w:rPr>
                <w:rFonts w:ascii="Arial" w:cs="Arial" w:eastAsia="Arial" w:hAnsi="Arial"/>
                <w:sz w:val="16"/>
                <w:szCs w:val="16"/>
                <w:color w:val="auto"/>
              </w:rPr>
              <w:t>Senior Vice President and Controller</w:t>
            </w:r>
          </w:p>
        </w:tc>
        <w:tc>
          <w:tcPr>
            <w:tcW w:w="4820" w:type="dxa"/>
            <w:vAlign w:val="bottom"/>
          </w:tcPr>
          <w:p>
            <w:pPr>
              <w:spacing w:after="0"/>
              <w:rPr>
                <w:sz w:val="14"/>
                <w:szCs w:val="14"/>
                <w:color w:val="auto"/>
              </w:rPr>
            </w:pPr>
          </w:p>
        </w:tc>
      </w:tr>
      <w:tr>
        <w:trPr>
          <w:trHeight w:val="207"/>
        </w:trPr>
        <w:tc>
          <w:tcPr>
            <w:tcW w:w="6420" w:type="dxa"/>
            <w:vAlign w:val="bottom"/>
            <w:gridSpan w:val="3"/>
          </w:tcPr>
          <w:p>
            <w:pPr>
              <w:jc w:val="center"/>
              <w:ind w:right="880"/>
              <w:spacing w:after="0"/>
              <w:rPr>
                <w:sz w:val="20"/>
                <w:szCs w:val="20"/>
                <w:color w:val="auto"/>
              </w:rPr>
            </w:pPr>
            <w:r>
              <w:rPr>
                <w:rFonts w:ascii="Arial" w:cs="Arial" w:eastAsia="Arial" w:hAnsi="Arial"/>
                <w:sz w:val="16"/>
                <w:szCs w:val="16"/>
                <w:color w:val="auto"/>
              </w:rPr>
              <w:t>(Principal Accounting Officer)</w:t>
            </w:r>
          </w:p>
        </w:tc>
        <w:tc>
          <w:tcPr>
            <w:tcW w:w="4820" w:type="dxa"/>
            <w:vAlign w:val="bottom"/>
          </w:tcPr>
          <w:p>
            <w:pPr>
              <w:spacing w:after="0"/>
              <w:rPr>
                <w:sz w:val="17"/>
                <w:szCs w:val="17"/>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August 3, 2023</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9" w:right="339" w:bottom="1440" w:gutter="0" w:footer="0" w:header="0"/>
        </w:sectPr>
      </w:pPr>
    </w:p>
    <w:bookmarkStart w:id="87" w:name="page88"/>
    <w:bookmarkEnd w:id="87"/>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 Joseph Dominguez, certify that:</w:t>
      </w:r>
    </w:p>
    <w:p>
      <w:pPr>
        <w:spacing w:after="0" w:line="100"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Corporation;</w:t>
      </w:r>
    </w:p>
    <w:p>
      <w:pPr>
        <w:spacing w:after="0" w:line="86" w:lineRule="exact"/>
        <w:rPr>
          <w:rFonts w:ascii="Arial" w:cs="Arial" w:eastAsia="Arial" w:hAnsi="Arial"/>
          <w:sz w:val="16"/>
          <w:szCs w:val="16"/>
          <w:color w:val="auto"/>
        </w:rPr>
      </w:pPr>
    </w:p>
    <w:p>
      <w:pPr>
        <w:jc w:val="both"/>
        <w:ind w:left="340" w:hanging="332"/>
        <w:spacing w:after="0" w:line="338"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6"/>
          <w:szCs w:val="16"/>
          <w:color w:val="auto"/>
        </w:rPr>
      </w:pPr>
    </w:p>
    <w:p>
      <w:pPr>
        <w:jc w:val="both"/>
        <w:ind w:left="340" w:hanging="332"/>
        <w:spacing w:after="0" w:line="305"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45" w:lineRule="exact"/>
        <w:rPr>
          <w:rFonts w:ascii="Arial" w:cs="Arial" w:eastAsia="Arial" w:hAnsi="Arial"/>
          <w:sz w:val="16"/>
          <w:szCs w:val="16"/>
          <w:color w:val="auto"/>
        </w:rPr>
      </w:pPr>
    </w:p>
    <w:p>
      <w:pPr>
        <w:ind w:left="660"/>
        <w:spacing w:after="0" w:line="311" w:lineRule="auto"/>
        <w:rPr>
          <w:rFonts w:ascii="Arial" w:cs="Arial" w:eastAsia="Arial" w:hAnsi="Arial"/>
          <w:sz w:val="16"/>
          <w:szCs w:val="16"/>
          <w:color w:val="auto"/>
        </w:rPr>
      </w:pPr>
      <w:r>
        <w:rPr>
          <w:rFonts w:ascii="Arial" w:cs="Arial" w:eastAsia="Arial" w:hAnsi="Arial"/>
          <w:sz w:val="16"/>
          <w:szCs w:val="16"/>
          <w:color w:val="auto"/>
        </w:rPr>
        <w:t>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 Daniel L. Eggers, certify that:</w:t>
      </w:r>
    </w:p>
    <w:p>
      <w:pPr>
        <w:spacing w:after="0" w:line="100"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Corporation;</w:t>
      </w:r>
    </w:p>
    <w:p>
      <w:pPr>
        <w:spacing w:after="0" w:line="86" w:lineRule="exact"/>
        <w:rPr>
          <w:rFonts w:ascii="Arial" w:cs="Arial" w:eastAsia="Arial" w:hAnsi="Arial"/>
          <w:sz w:val="16"/>
          <w:szCs w:val="16"/>
          <w:color w:val="auto"/>
        </w:rPr>
      </w:pPr>
    </w:p>
    <w:p>
      <w:pPr>
        <w:jc w:val="both"/>
        <w:ind w:left="340" w:hanging="332"/>
        <w:spacing w:after="0" w:line="338"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6"/>
          <w:szCs w:val="16"/>
          <w:color w:val="auto"/>
        </w:rPr>
      </w:pPr>
    </w:p>
    <w:p>
      <w:pPr>
        <w:jc w:val="both"/>
        <w:ind w:left="340" w:hanging="332"/>
        <w:spacing w:after="0" w:line="305"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45" w:lineRule="exact"/>
        <w:rPr>
          <w:rFonts w:ascii="Arial" w:cs="Arial" w:eastAsia="Arial" w:hAnsi="Arial"/>
          <w:sz w:val="16"/>
          <w:szCs w:val="16"/>
          <w:color w:val="auto"/>
        </w:rPr>
      </w:pPr>
    </w:p>
    <w:p>
      <w:pPr>
        <w:ind w:left="660"/>
        <w:spacing w:after="0" w:line="311" w:lineRule="auto"/>
        <w:rPr>
          <w:rFonts w:ascii="Arial" w:cs="Arial" w:eastAsia="Arial" w:hAnsi="Arial"/>
          <w:sz w:val="16"/>
          <w:szCs w:val="16"/>
          <w:color w:val="auto"/>
        </w:rPr>
      </w:pPr>
      <w:r>
        <w:rPr>
          <w:rFonts w:ascii="Arial" w:cs="Arial" w:eastAsia="Arial" w:hAnsi="Arial"/>
          <w:sz w:val="16"/>
          <w:szCs w:val="16"/>
          <w:color w:val="auto"/>
        </w:rPr>
        <w:t>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 Joseph Dominguez, certify that:</w:t>
      </w:r>
    </w:p>
    <w:p>
      <w:pPr>
        <w:spacing w:after="0" w:line="100"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Generation, LLC;</w:t>
      </w:r>
    </w:p>
    <w:p>
      <w:pPr>
        <w:spacing w:after="0" w:line="86" w:lineRule="exact"/>
        <w:rPr>
          <w:rFonts w:ascii="Arial" w:cs="Arial" w:eastAsia="Arial" w:hAnsi="Arial"/>
          <w:sz w:val="16"/>
          <w:szCs w:val="16"/>
          <w:color w:val="auto"/>
        </w:rPr>
      </w:pPr>
    </w:p>
    <w:p>
      <w:pPr>
        <w:jc w:val="both"/>
        <w:ind w:left="340" w:hanging="332"/>
        <w:spacing w:after="0" w:line="338"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6"/>
          <w:szCs w:val="16"/>
          <w:color w:val="auto"/>
        </w:rPr>
      </w:pPr>
    </w:p>
    <w:p>
      <w:pPr>
        <w:jc w:val="both"/>
        <w:ind w:left="340" w:hanging="332"/>
        <w:spacing w:after="0" w:line="305"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45" w:lineRule="exact"/>
        <w:rPr>
          <w:rFonts w:ascii="Arial" w:cs="Arial" w:eastAsia="Arial" w:hAnsi="Arial"/>
          <w:sz w:val="16"/>
          <w:szCs w:val="16"/>
          <w:color w:val="auto"/>
        </w:rPr>
      </w:pPr>
    </w:p>
    <w:p>
      <w:pPr>
        <w:ind w:left="660"/>
        <w:spacing w:after="0" w:line="311" w:lineRule="auto"/>
        <w:rPr>
          <w:rFonts w:ascii="Arial" w:cs="Arial" w:eastAsia="Arial" w:hAnsi="Arial"/>
          <w:sz w:val="16"/>
          <w:szCs w:val="16"/>
          <w:color w:val="auto"/>
        </w:rPr>
      </w:pPr>
      <w:r>
        <w:rPr>
          <w:rFonts w:ascii="Arial" w:cs="Arial" w:eastAsia="Arial" w:hAnsi="Arial"/>
          <w:sz w:val="16"/>
          <w:szCs w:val="16"/>
          <w:color w:val="auto"/>
        </w:rPr>
        <w:t>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31.4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AND 15d-14(a) OF THE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ACT OF 1934</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I, Daniel L. Eggers, certify that:</w:t>
      </w:r>
    </w:p>
    <w:p>
      <w:pPr>
        <w:spacing w:after="0" w:line="100"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Constellation Energy Generation, LLC;</w:t>
      </w:r>
    </w:p>
    <w:p>
      <w:pPr>
        <w:spacing w:after="0" w:line="86" w:lineRule="exact"/>
        <w:rPr>
          <w:rFonts w:ascii="Arial" w:cs="Arial" w:eastAsia="Arial" w:hAnsi="Arial"/>
          <w:sz w:val="16"/>
          <w:szCs w:val="16"/>
          <w:color w:val="auto"/>
        </w:rPr>
      </w:pPr>
    </w:p>
    <w:p>
      <w:pPr>
        <w:jc w:val="both"/>
        <w:ind w:left="340" w:hanging="332"/>
        <w:spacing w:after="0" w:line="33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6"/>
          <w:szCs w:val="16"/>
          <w:color w:val="auto"/>
        </w:rPr>
      </w:pPr>
    </w:p>
    <w:p>
      <w:pPr>
        <w:jc w:val="both"/>
        <w:ind w:left="340" w:hanging="332"/>
        <w:spacing w:after="0" w:line="305"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Arial" w:cs="Arial" w:eastAsia="Arial" w:hAnsi="Arial"/>
          <w:sz w:val="16"/>
          <w:szCs w:val="16"/>
          <w:color w:val="auto"/>
        </w:rPr>
      </w:pPr>
    </w:p>
    <w:p>
      <w:pPr>
        <w:jc w:val="both"/>
        <w:ind w:left="660" w:hanging="328"/>
        <w:spacing w:after="0" w:line="305"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45" w:lineRule="exact"/>
        <w:rPr>
          <w:rFonts w:ascii="Arial" w:cs="Arial" w:eastAsia="Arial" w:hAnsi="Arial"/>
          <w:sz w:val="16"/>
          <w:szCs w:val="16"/>
          <w:color w:val="auto"/>
        </w:rPr>
      </w:pPr>
    </w:p>
    <w:p>
      <w:pPr>
        <w:ind w:left="660"/>
        <w:spacing w:after="0" w:line="311" w:lineRule="auto"/>
        <w:rPr>
          <w:rFonts w:ascii="Arial" w:cs="Arial" w:eastAsia="Arial" w:hAnsi="Arial"/>
          <w:sz w:val="16"/>
          <w:szCs w:val="16"/>
          <w:color w:val="auto"/>
        </w:rPr>
      </w:pPr>
      <w:r>
        <w:rPr>
          <w:rFonts w:ascii="Arial" w:cs="Arial" w:eastAsia="Arial" w:hAnsi="Arial"/>
          <w:sz w:val="16"/>
          <w:szCs w:val="16"/>
          <w:color w:val="auto"/>
        </w:rPr>
        <w:t>quarter (the registrant’s fourth fiscal quarter in the case of an annual report) that has materially affected, or is reasonably likely to materially affect, the registrant’s internal control over financial reporting; and</w:t>
      </w:r>
    </w:p>
    <w:p>
      <w:pPr>
        <w:spacing w:after="0" w:line="22" w:lineRule="exact"/>
        <w:rPr>
          <w:rFonts w:ascii="Arial" w:cs="Arial" w:eastAsia="Arial" w:hAnsi="Arial"/>
          <w:sz w:val="16"/>
          <w:szCs w:val="16"/>
          <w:color w:val="auto"/>
        </w:rPr>
      </w:pPr>
    </w:p>
    <w:p>
      <w:pPr>
        <w:ind w:left="340" w:hanging="332"/>
        <w:spacing w:after="0" w:line="325"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660" w:hanging="328"/>
        <w:spacing w:after="0" w:line="328"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660" w:hanging="328"/>
        <w:spacing w:after="0" w:line="311"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(Principal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Corporation for the quarterly period ended June 30,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Joseph Dominguez</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Corporation for the quarterly period ended June 30,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Daniel L. Eggers</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Generation, LLC for the quarterly period ended June 30,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Joseph Dominguez</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Pursuant to Section 1350 of Chapter 63 of Title 18 United States Code</w:t>
      </w:r>
    </w:p>
    <w:p>
      <w:pPr>
        <w:spacing w:after="0" w:line="27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undersigned officer hereby certifies, as to the quarterly report on Form 10-Q of Constellation Energy Generation, LLC for the quarterly period ended June 30, 2023,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/s/ DANIEL L. EGGERS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18415</wp:posOffset>
            </wp:positionV>
            <wp:extent cx="39604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Daniel L. Eggers</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Executive Vice President and Chief Financial Officer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lowerLetter"/>
      <w:start w:val="1"/>
    </w:lvl>
  </w:abstractNum>
  <w:abstractNum w:abstractNumId="1">
    <w:nsid w:val="5577F8E1"/>
    <w:multiLevelType w:val="hybridMultilevel"/>
    <w:lvl w:ilvl="0">
      <w:lvlJc w:val="left"/>
      <w:lvlText w:val="(%1)"/>
      <w:numFmt w:val="lowerLetter"/>
      <w:start w:val="1"/>
    </w:lvl>
  </w:abstractNum>
  <w:abstractNum w:abstractNumId="2">
    <w:nsid w:val="440BADFC"/>
    <w:multiLevelType w:val="hybridMultilevel"/>
    <w:lvl w:ilvl="0">
      <w:lvlJc w:val="left"/>
      <w:lvlText w:val="(%1)"/>
      <w:numFmt w:val="lowerLetter"/>
      <w:start w:val="1"/>
    </w:lvl>
  </w:abstractNum>
  <w:abstractNum w:abstractNumId="3">
    <w:nsid w:val="5072367"/>
    <w:multiLevelType w:val="hybridMultilevel"/>
    <w:lvl w:ilvl="0">
      <w:lvlJc w:val="left"/>
      <w:lvlText w:val="%1."/>
      <w:numFmt w:val="decimal"/>
      <w:start w:val="2"/>
    </w:lvl>
  </w:abstractNum>
  <w:abstractNum w:abstractNumId="4">
    <w:nsid w:val="3804823E"/>
    <w:multiLevelType w:val="hybridMultilevel"/>
    <w:lvl w:ilvl="0">
      <w:lvlJc w:val="left"/>
      <w:lvlText w:val="•"/>
      <w:numFmt w:val="bullet"/>
      <w:start w:val="1"/>
    </w:lvl>
    <w:lvl w:ilvl="1">
      <w:lvlJc w:val="left"/>
      <w:lvlText w:val="•"/>
      <w:numFmt w:val="bullet"/>
      <w:start w:val="1"/>
    </w:lvl>
  </w:abstractNum>
  <w:abstractNum w:abstractNumId="5">
    <w:nsid w:val="77465F01"/>
    <w:multiLevelType w:val="hybridMultilevel"/>
    <w:lvl w:ilvl="0">
      <w:lvlJc w:val="left"/>
      <w:lvlText w:val="(%1)"/>
      <w:numFmt w:val="lowerLetter"/>
      <w:start w:val="1"/>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1."/>
      <w:numFmt w:val="decimal"/>
      <w:start w:val="6"/>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decimal"/>
      <w:start w:val="8"/>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lowerLetter"/>
      <w:start w:val="1"/>
    </w:lvl>
  </w:abstractNum>
  <w:abstractNum w:abstractNumId="15">
    <w:nsid w:val="70A64E2A"/>
    <w:multiLevelType w:val="hybridMultilevel"/>
    <w:lvl w:ilvl="0">
      <w:lvlJc w:val="left"/>
      <w:lvlText w:val="(%1)"/>
      <w:numFmt w:val="lowerLetter"/>
      <w:start w:val="1"/>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lowerLetter"/>
      <w:start w:val="1"/>
    </w:lvl>
  </w:abstractNum>
  <w:abstractNum w:abstractNumId="18">
    <w:nsid w:val="1D4ED43B"/>
    <w:multiLevelType w:val="hybridMultilevel"/>
    <w:lvl w:ilvl="0">
      <w:lvlJc w:val="left"/>
      <w:lvlText w:val="(%1)"/>
      <w:numFmt w:val="lowerLetter"/>
      <w:start w:val="1"/>
    </w:lvl>
  </w:abstractNum>
  <w:abstractNum w:abstractNumId="19">
    <w:nsid w:val="725A06FB"/>
    <w:multiLevelType w:val="hybridMultilevel"/>
    <w:lvl w:ilvl="0">
      <w:lvlJc w:val="left"/>
      <w:lvlText w:val="%1."/>
      <w:numFmt w:val="decimal"/>
      <w:start w:val="1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lowerLetter"/>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lowerLetter"/>
      <w:start w:val="1"/>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decimal"/>
      <w:start w:val="13"/>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decimal"/>
      <w:start w:val="16"/>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1"/>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2"/>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
      <w:numFmt w:val="bullet"/>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decimal"/>
      <w:start w:val="2"/>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2023-08-03T10:34:35Z</dcterms:created>
  <dcterms:modified xsi:type="dcterms:W3CDTF">2023-08-03T10:34:35Z</dcterms:modified>
</cp:coreProperties>
</file>