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9"/>
          <w:szCs w:val="9"/>
          <w:b w:val="1"/>
          <w:bCs w:val="1"/>
          <w:color w:val="auto"/>
        </w:rPr>
        <w:t>Washington, D.C. 20549</w:t>
      </w:r>
    </w:p>
    <w:p>
      <w:pPr>
        <w:spacing w:after="0" w:line="14"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17780</wp:posOffset>
            </wp:positionV>
            <wp:extent cx="49949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4910" cy="571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-101600</wp:posOffset>
            </wp:positionV>
            <wp:extent cx="49949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4910" cy="5715"/>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May 11, 2026</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9"/>
          <w:szCs w:val="9"/>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1086485</wp:posOffset>
            </wp:positionH>
            <wp:positionV relativeFrom="paragraph">
              <wp:posOffset>8890</wp:posOffset>
            </wp:positionV>
            <wp:extent cx="49949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4910" cy="5715"/>
                    </a:xfrm>
                    <a:prstGeom prst="rect">
                      <a:avLst/>
                    </a:prstGeom>
                    <a:noFill/>
                  </pic:spPr>
                </pic:pic>
              </a:graphicData>
            </a:graphic>
          </wp:anchor>
        </w:drawing>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92"/>
        </w:trPr>
        <w:tc>
          <w:tcPr>
            <w:tcW w:w="2380" w:type="dxa"/>
            <w:vAlign w:val="bottom"/>
            <w:gridSpan w:val="2"/>
          </w:tcPr>
          <w:p>
            <w:pPr>
              <w:spacing w:after="0"/>
              <w:rPr>
                <w:sz w:val="20"/>
                <w:szCs w:val="20"/>
                <w:color w:val="auto"/>
              </w:rPr>
            </w:pPr>
            <w:r>
              <w:rPr>
                <w:rFonts w:ascii="Arial" w:cs="Arial" w:eastAsia="Arial" w:hAnsi="Arial"/>
                <w:sz w:val="8"/>
                <w:szCs w:val="8"/>
                <w:b w:val="1"/>
                <w:bCs w:val="1"/>
                <w:color w:val="auto"/>
              </w:rPr>
              <w:t>Commission</w:t>
            </w:r>
          </w:p>
        </w:tc>
        <w:tc>
          <w:tcPr>
            <w:tcW w:w="6520" w:type="dxa"/>
            <w:vAlign w:val="bottom"/>
            <w:vMerge w:val="restart"/>
          </w:tcPr>
          <w:p>
            <w:pPr>
              <w:spacing w:after="0"/>
              <w:rPr>
                <w:sz w:val="20"/>
                <w:szCs w:val="20"/>
                <w:color w:val="auto"/>
              </w:rPr>
            </w:pPr>
            <w:r>
              <w:rPr>
                <w:rFonts w:ascii="Arial" w:cs="Arial" w:eastAsia="Arial" w:hAnsi="Arial"/>
                <w:sz w:val="8"/>
                <w:szCs w:val="8"/>
                <w:b w:val="1"/>
                <w:bCs w:val="1"/>
                <w:color w:val="auto"/>
              </w:rPr>
              <w:t>Name of Registrant; State or Other Jurisdiction of Incorporation; Address of Principal Executive Offices; and Telephone Number</w:t>
            </w:r>
          </w:p>
        </w:tc>
        <w:tc>
          <w:tcPr>
            <w:tcW w:w="100" w:type="dxa"/>
            <w:vAlign w:val="bottom"/>
            <w:vMerge w:val="restart"/>
          </w:tcPr>
          <w:p>
            <w:pPr>
              <w:spacing w:after="0"/>
              <w:rPr>
                <w:sz w:val="7"/>
                <w:szCs w:val="7"/>
                <w:color w:val="auto"/>
              </w:rPr>
            </w:pPr>
          </w:p>
        </w:tc>
        <w:tc>
          <w:tcPr>
            <w:tcW w:w="2300" w:type="dxa"/>
            <w:vAlign w:val="bottom"/>
            <w:vMerge w:val="restart"/>
          </w:tcPr>
          <w:p>
            <w:pPr>
              <w:jc w:val="right"/>
              <w:ind w:right="810"/>
              <w:spacing w:after="0"/>
              <w:rPr>
                <w:sz w:val="20"/>
                <w:szCs w:val="20"/>
                <w:color w:val="auto"/>
              </w:rPr>
            </w:pPr>
            <w:r>
              <w:rPr>
                <w:rFonts w:ascii="Arial" w:cs="Arial" w:eastAsia="Arial" w:hAnsi="Arial"/>
                <w:sz w:val="8"/>
                <w:szCs w:val="8"/>
                <w:b w:val="1"/>
                <w:bCs w:val="1"/>
                <w:color w:val="auto"/>
              </w:rPr>
              <w:t>IRS Employer Identification Number</w:t>
            </w:r>
          </w:p>
        </w:tc>
        <w:tc>
          <w:tcPr>
            <w:tcW w:w="0" w:type="dxa"/>
            <w:vAlign w:val="bottom"/>
          </w:tcPr>
          <w:p>
            <w:pPr>
              <w:spacing w:after="0"/>
              <w:rPr>
                <w:sz w:val="1"/>
                <w:szCs w:val="1"/>
                <w:color w:val="auto"/>
              </w:rPr>
            </w:pPr>
          </w:p>
        </w:tc>
      </w:tr>
      <w:tr>
        <w:trPr>
          <w:trHeight w:val="117"/>
        </w:trPr>
        <w:tc>
          <w:tcPr>
            <w:tcW w:w="228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File Number</w:t>
            </w:r>
          </w:p>
        </w:tc>
        <w:tc>
          <w:tcPr>
            <w:tcW w:w="100" w:type="dxa"/>
            <w:vAlign w:val="bottom"/>
          </w:tcPr>
          <w:p>
            <w:pPr>
              <w:spacing w:after="0"/>
              <w:rPr>
                <w:sz w:val="10"/>
                <w:szCs w:val="10"/>
                <w:color w:val="auto"/>
              </w:rPr>
            </w:pPr>
          </w:p>
        </w:tc>
        <w:tc>
          <w:tcPr>
            <w:tcW w:w="65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20"/>
                <w:szCs w:val="20"/>
                <w:color w:val="auto"/>
              </w:rPr>
            </w:pPr>
            <w:r>
              <w:rPr>
                <w:rFonts w:ascii="Arial" w:cs="Arial" w:eastAsia="Arial" w:hAnsi="Arial"/>
                <w:sz w:val="11"/>
                <w:szCs w:val="11"/>
                <w:color w:val="auto"/>
              </w:rPr>
              <w:t>001-41137</w:t>
            </w:r>
          </w:p>
        </w:tc>
        <w:tc>
          <w:tcPr>
            <w:tcW w:w="10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Arial" w:cs="Arial" w:eastAsia="Arial" w:hAnsi="Arial"/>
                <w:sz w:val="11"/>
                <w:szCs w:val="11"/>
                <w:color w:val="auto"/>
              </w:rPr>
              <w:t>CONSTELLATION ENERGY CORPORATION</w:t>
            </w:r>
          </w:p>
        </w:tc>
        <w:tc>
          <w:tcPr>
            <w:tcW w:w="2300" w:type="dxa"/>
            <w:vAlign w:val="bottom"/>
          </w:tcPr>
          <w:p>
            <w:pPr>
              <w:jc w:val="right"/>
              <w:spacing w:after="0"/>
              <w:rPr>
                <w:sz w:val="20"/>
                <w:szCs w:val="20"/>
                <w:color w:val="auto"/>
              </w:rPr>
            </w:pPr>
            <w:r>
              <w:rPr>
                <w:rFonts w:ascii="Arial" w:cs="Arial" w:eastAsia="Arial" w:hAnsi="Arial"/>
                <w:sz w:val="11"/>
                <w:szCs w:val="11"/>
                <w:color w:val="auto"/>
              </w:rPr>
              <w:t>87-1210716</w:t>
            </w: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gridSpan w:val="2"/>
          </w:tcPr>
          <w:p>
            <w:pPr>
              <w:spacing w:after="0" w:line="111" w:lineRule="exact"/>
              <w:rPr>
                <w:sz w:val="20"/>
                <w:szCs w:val="20"/>
                <w:color w:val="auto"/>
              </w:rPr>
            </w:pPr>
            <w:r>
              <w:rPr>
                <w:rFonts w:ascii="Arial" w:cs="Arial" w:eastAsia="Arial" w:hAnsi="Arial"/>
                <w:sz w:val="11"/>
                <w:szCs w:val="11"/>
                <w:color w:val="auto"/>
              </w:rPr>
              <w:t>(a Pennsylvania corporation)</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gridSpan w:val="2"/>
          </w:tcPr>
          <w:p>
            <w:pPr>
              <w:spacing w:after="0" w:line="108" w:lineRule="exact"/>
              <w:rPr>
                <w:sz w:val="20"/>
                <w:szCs w:val="20"/>
                <w:color w:val="auto"/>
              </w:rPr>
            </w:pPr>
            <w:r>
              <w:rPr>
                <w:rFonts w:ascii="Arial" w:cs="Arial" w:eastAsia="Arial" w:hAnsi="Arial"/>
                <w:sz w:val="11"/>
                <w:szCs w:val="11"/>
                <w:color w:val="auto"/>
              </w:rPr>
              <w:t>1310 Point Street</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gridSpan w:val="2"/>
          </w:tcPr>
          <w:p>
            <w:pPr>
              <w:spacing w:after="0" w:line="108" w:lineRule="exact"/>
              <w:rPr>
                <w:sz w:val="20"/>
                <w:szCs w:val="20"/>
                <w:color w:val="auto"/>
              </w:rPr>
            </w:pPr>
            <w:r>
              <w:rPr>
                <w:rFonts w:ascii="Arial" w:cs="Arial" w:eastAsia="Arial" w:hAnsi="Arial"/>
                <w:sz w:val="11"/>
                <w:szCs w:val="11"/>
                <w:color w:val="auto"/>
              </w:rPr>
              <w:t>Baltimore, Maryland 21231-3380</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1"/>
                <w:szCs w:val="11"/>
                <w:color w:val="auto"/>
              </w:rPr>
              <w:t>(833) 883-0162</w:t>
            </w: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1"/>
                <w:szCs w:val="11"/>
                <w:color w:val="auto"/>
              </w:rPr>
              <w:t>333-85496</w:t>
            </w:r>
          </w:p>
        </w:tc>
        <w:tc>
          <w:tcPr>
            <w:tcW w:w="10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1"/>
                <w:szCs w:val="11"/>
                <w:color w:val="auto"/>
              </w:rPr>
              <w:t>CONSTELLATION ENERGY GENERATION, LLC</w:t>
            </w:r>
          </w:p>
        </w:tc>
        <w:tc>
          <w:tcPr>
            <w:tcW w:w="2300" w:type="dxa"/>
            <w:vAlign w:val="bottom"/>
          </w:tcPr>
          <w:p>
            <w:pPr>
              <w:jc w:val="right"/>
              <w:spacing w:after="0"/>
              <w:rPr>
                <w:sz w:val="20"/>
                <w:szCs w:val="20"/>
                <w:color w:val="auto"/>
              </w:rPr>
            </w:pPr>
            <w:r>
              <w:rPr>
                <w:rFonts w:ascii="Arial" w:cs="Arial" w:eastAsia="Arial" w:hAnsi="Arial"/>
                <w:sz w:val="11"/>
                <w:szCs w:val="11"/>
                <w:color w:val="auto"/>
              </w:rPr>
              <w:t>23-3064219</w:t>
            </w: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gridSpan w:val="2"/>
          </w:tcPr>
          <w:p>
            <w:pPr>
              <w:spacing w:after="0" w:line="111" w:lineRule="exact"/>
              <w:rPr>
                <w:sz w:val="20"/>
                <w:szCs w:val="20"/>
                <w:color w:val="auto"/>
              </w:rPr>
            </w:pPr>
            <w:r>
              <w:rPr>
                <w:rFonts w:ascii="Arial" w:cs="Arial" w:eastAsia="Arial" w:hAnsi="Arial"/>
                <w:sz w:val="11"/>
                <w:szCs w:val="11"/>
                <w:color w:val="auto"/>
              </w:rPr>
              <w:t>(a Pennsylvania limited liability company)</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gridSpan w:val="2"/>
          </w:tcPr>
          <w:p>
            <w:pPr>
              <w:spacing w:after="0" w:line="108" w:lineRule="exact"/>
              <w:rPr>
                <w:sz w:val="20"/>
                <w:szCs w:val="20"/>
                <w:color w:val="auto"/>
              </w:rPr>
            </w:pPr>
            <w:r>
              <w:rPr>
                <w:rFonts w:ascii="Arial" w:cs="Arial" w:eastAsia="Arial" w:hAnsi="Arial"/>
                <w:sz w:val="11"/>
                <w:szCs w:val="11"/>
                <w:color w:val="auto"/>
              </w:rPr>
              <w:t>200 Energy Way</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20" w:type="dxa"/>
            <w:vAlign w:val="bottom"/>
            <w:gridSpan w:val="2"/>
          </w:tcPr>
          <w:p>
            <w:pPr>
              <w:spacing w:after="0" w:line="108" w:lineRule="exact"/>
              <w:rPr>
                <w:sz w:val="20"/>
                <w:szCs w:val="20"/>
                <w:color w:val="auto"/>
              </w:rPr>
            </w:pPr>
            <w:r>
              <w:rPr>
                <w:rFonts w:ascii="Arial" w:cs="Arial" w:eastAsia="Arial" w:hAnsi="Arial"/>
                <w:sz w:val="11"/>
                <w:szCs w:val="11"/>
                <w:color w:val="auto"/>
              </w:rPr>
              <w:t>Kennett Square, Pennsylvania 19348-2473</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520" w:type="dxa"/>
            <w:vAlign w:val="bottom"/>
          </w:tcPr>
          <w:p>
            <w:pPr>
              <w:spacing w:after="0"/>
              <w:rPr>
                <w:sz w:val="20"/>
                <w:szCs w:val="20"/>
                <w:color w:val="auto"/>
              </w:rPr>
            </w:pPr>
            <w:r>
              <w:rPr>
                <w:rFonts w:ascii="Arial" w:cs="Arial" w:eastAsia="Arial" w:hAnsi="Arial"/>
                <w:sz w:val="11"/>
                <w:szCs w:val="11"/>
                <w:color w:val="auto"/>
              </w:rPr>
              <w:t>(833) 883-0162</w:t>
            </w: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3"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500" w:hanging="496"/>
        <w:spacing w:after="0"/>
        <w:tabs>
          <w:tab w:leader="none" w:pos="5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500" w:hanging="496"/>
        <w:spacing w:after="0"/>
        <w:tabs>
          <w:tab w:leader="none" w:pos="5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500" w:hanging="496"/>
        <w:spacing w:after="0"/>
        <w:tabs>
          <w:tab w:leader="none" w:pos="5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51"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5420" w:type="dxa"/>
            <w:vAlign w:val="bottom"/>
            <w:tcBorders>
              <w:bottom w:val="single" w:sz="8" w:color="auto"/>
            </w:tcBorders>
          </w:tcPr>
          <w:p>
            <w:pPr>
              <w:ind w:left="2320"/>
              <w:spacing w:after="0"/>
              <w:rPr>
                <w:sz w:val="20"/>
                <w:szCs w:val="20"/>
                <w:color w:val="auto"/>
              </w:rPr>
            </w:pPr>
            <w:r>
              <w:rPr>
                <w:rFonts w:ascii="Arial" w:cs="Arial" w:eastAsia="Arial" w:hAnsi="Arial"/>
                <w:sz w:val="9"/>
                <w:szCs w:val="9"/>
                <w:b w:val="1"/>
                <w:bCs w:val="1"/>
                <w:color w:val="auto"/>
              </w:rPr>
              <w:t>Title of each class</w:t>
            </w:r>
          </w:p>
        </w:tc>
        <w:tc>
          <w:tcPr>
            <w:tcW w:w="10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Trading Symbol(s)</w:t>
            </w:r>
          </w:p>
        </w:tc>
        <w:tc>
          <w:tcPr>
            <w:tcW w:w="100" w:type="dxa"/>
            <w:vAlign w:val="bottom"/>
          </w:tcPr>
          <w:p>
            <w:pPr>
              <w:spacing w:after="0"/>
              <w:rPr>
                <w:sz w:val="10"/>
                <w:szCs w:val="1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Name of each exchange on which registered</w:t>
            </w:r>
          </w:p>
        </w:tc>
      </w:tr>
      <w:tr>
        <w:trPr>
          <w:trHeight w:val="135"/>
        </w:trPr>
        <w:tc>
          <w:tcPr>
            <w:tcW w:w="5520" w:type="dxa"/>
            <w:vAlign w:val="bottom"/>
            <w:gridSpan w:val="2"/>
          </w:tcPr>
          <w:p>
            <w:pPr>
              <w:spacing w:after="0"/>
              <w:rPr>
                <w:sz w:val="20"/>
                <w:szCs w:val="20"/>
                <w:color w:val="auto"/>
              </w:rPr>
            </w:pPr>
            <w:r>
              <w:rPr>
                <w:rFonts w:ascii="Arial" w:cs="Arial" w:eastAsia="Arial" w:hAnsi="Arial"/>
                <w:sz w:val="11"/>
                <w:szCs w:val="11"/>
                <w:b w:val="1"/>
                <w:bCs w:val="1"/>
                <w:color w:val="auto"/>
              </w:rPr>
              <w:t>CONSTELLATION ENERGY CORPORATION:</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60" w:type="dxa"/>
            <w:vAlign w:val="bottom"/>
          </w:tcPr>
          <w:p>
            <w:pPr>
              <w:spacing w:after="0"/>
              <w:rPr>
                <w:sz w:val="11"/>
                <w:szCs w:val="11"/>
                <w:color w:val="auto"/>
              </w:rPr>
            </w:pPr>
          </w:p>
        </w:tc>
      </w:tr>
      <w:tr>
        <w:trPr>
          <w:trHeight w:val="142"/>
        </w:trPr>
        <w:tc>
          <w:tcPr>
            <w:tcW w:w="5520" w:type="dxa"/>
            <w:vAlign w:val="bottom"/>
            <w:gridSpan w:val="2"/>
          </w:tcPr>
          <w:p>
            <w:pPr>
              <w:spacing w:after="0"/>
              <w:rPr>
                <w:sz w:val="20"/>
                <w:szCs w:val="20"/>
                <w:color w:val="auto"/>
              </w:rPr>
            </w:pPr>
            <w:r>
              <w:rPr>
                <w:rFonts w:ascii="Arial" w:cs="Arial" w:eastAsia="Arial" w:hAnsi="Arial"/>
                <w:sz w:val="11"/>
                <w:szCs w:val="11"/>
                <w:color w:val="auto"/>
              </w:rPr>
              <w:t>Common Stock, without par value</w:t>
            </w:r>
          </w:p>
        </w:tc>
        <w:tc>
          <w:tcPr>
            <w:tcW w:w="1220" w:type="dxa"/>
            <w:vAlign w:val="bottom"/>
            <w:gridSpan w:val="2"/>
          </w:tcPr>
          <w:p>
            <w:pPr>
              <w:jc w:val="center"/>
              <w:ind w:right="100"/>
              <w:spacing w:after="0"/>
              <w:rPr>
                <w:sz w:val="20"/>
                <w:szCs w:val="20"/>
                <w:color w:val="auto"/>
              </w:rPr>
            </w:pPr>
            <w:r>
              <w:rPr>
                <w:rFonts w:ascii="Arial" w:cs="Arial" w:eastAsia="Arial" w:hAnsi="Arial"/>
                <w:sz w:val="11"/>
                <w:szCs w:val="11"/>
                <w:color w:val="auto"/>
              </w:rPr>
              <w:t>CEG</w:t>
            </w:r>
          </w:p>
        </w:tc>
        <w:tc>
          <w:tcPr>
            <w:tcW w:w="4560" w:type="dxa"/>
            <w:vAlign w:val="bottom"/>
          </w:tcPr>
          <w:p>
            <w:pPr>
              <w:jc w:val="center"/>
              <w:spacing w:after="0"/>
              <w:rPr>
                <w:sz w:val="20"/>
                <w:szCs w:val="20"/>
                <w:color w:val="auto"/>
              </w:rPr>
            </w:pPr>
            <w:r>
              <w:rPr>
                <w:rFonts w:ascii="Arial" w:cs="Arial" w:eastAsia="Arial" w:hAnsi="Arial"/>
                <w:sz w:val="11"/>
                <w:szCs w:val="11"/>
                <w:color w:val="auto"/>
                <w:w w:val="98"/>
              </w:rPr>
              <w:t>The Nasdaq Stock Market LLC</w:t>
            </w:r>
          </w:p>
        </w:tc>
      </w:tr>
    </w:tbl>
    <w:p>
      <w:pPr>
        <w:spacing w:after="0" w:line="236" w:lineRule="exact"/>
        <w:rPr>
          <w:sz w:val="24"/>
          <w:szCs w:val="24"/>
          <w:color w:val="auto"/>
        </w:rPr>
      </w:pPr>
    </w:p>
    <w:p>
      <w:pPr>
        <w:jc w:val="both"/>
        <w:ind w:right="20"/>
        <w:spacing w:after="0" w:line="236" w:lineRule="auto"/>
        <w:rPr>
          <w:sz w:val="20"/>
          <w:szCs w:val="20"/>
          <w:color w:val="auto"/>
        </w:rPr>
      </w:pPr>
      <w:r>
        <w:rPr>
          <w:rFonts w:ascii="Arial" w:cs="Arial" w:eastAsia="Arial" w:hAnsi="Arial"/>
          <w:sz w:val="11"/>
          <w:szCs w:val="11"/>
          <w:color w:val="auto"/>
        </w:rPr>
        <w:t>Indicate by check mark whether any of the registrants are emerging growth companies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63" w:lineRule="exact"/>
        <w:rPr>
          <w:sz w:val="24"/>
          <w:szCs w:val="24"/>
          <w:color w:val="auto"/>
        </w:rPr>
      </w:pPr>
    </w:p>
    <w:p>
      <w:pPr>
        <w:jc w:val="both"/>
        <w:ind w:right="2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any of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391160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 w:name="page2"/>
    <w:bookmarkEnd w:id="1"/>
    <w:p>
      <w:pPr>
        <w:ind w:left="8"/>
        <w:spacing w:after="0"/>
        <w:rPr>
          <w:sz w:val="20"/>
          <w:szCs w:val="20"/>
          <w:color w:val="auto"/>
        </w:rPr>
      </w:pPr>
      <w:r>
        <w:rPr>
          <w:rFonts w:ascii="Arial" w:cs="Arial" w:eastAsia="Arial" w:hAnsi="Arial"/>
          <w:sz w:val="11"/>
          <w:szCs w:val="11"/>
          <w:b w:val="1"/>
          <w:bCs w:val="1"/>
          <w:color w:val="auto"/>
        </w:rPr>
        <w:t>Section 2 - Financial Information</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Item 2.02. Results of Operations and Financial Condition</w:t>
      </w:r>
    </w:p>
    <w:p>
      <w:pPr>
        <w:spacing w:after="0" w:line="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Section 7 - Regulation FD</w:t>
      </w:r>
    </w:p>
    <w:p>
      <w:pPr>
        <w:ind w:left="8"/>
        <w:spacing w:after="0"/>
        <w:rPr>
          <w:sz w:val="20"/>
          <w:szCs w:val="20"/>
          <w:color w:val="auto"/>
        </w:rPr>
      </w:pPr>
      <w:r>
        <w:rPr>
          <w:rFonts w:ascii="Arial" w:cs="Arial" w:eastAsia="Arial" w:hAnsi="Arial"/>
          <w:sz w:val="11"/>
          <w:szCs w:val="11"/>
          <w:b w:val="1"/>
          <w:bCs w:val="1"/>
          <w:color w:val="auto"/>
        </w:rPr>
        <w:t>Item 7.01. Regulation FD Disclosure</w:t>
      </w:r>
    </w:p>
    <w:p>
      <w:pPr>
        <w:spacing w:after="0" w:line="107"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On May 11, 2026, Constellation Energy Corporation (Nasdaq: CEG) announced via press release its results for the first quarter ended March 31, 2026. A copy of the press release and related attachments are attached hereto as Exhibit 99.1. Also attached as Exhibit 99.2 to this Current Report on Form 8-K are the presentation slides to be used during the first quarter 2026 earnings conference call. This Form 8-K and the attached exhibits are provided under Items 2.02, 7.01 and 9.01 of Form 8-K and are furnished to, but not filed with, the Securities and Exchange Commission.</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have scheduled the conference call for 10:00 AM ET on May 11, 2026. To access the call by phone, please follow the registration link available on the Investor Relations page of our website: https://investors.constellationenergy.com.</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call will also be webcast and archived on the Investor Relations page of our website. Media representatives are invited to participate on a listen-only basis.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Section 9 - Financial Statements and Exhibits</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52" w:lineRule="exact"/>
        <w:rPr>
          <w:sz w:val="20"/>
          <w:szCs w:val="20"/>
          <w:color w:val="auto"/>
        </w:rPr>
      </w:pPr>
    </w:p>
    <w:p>
      <w:pPr>
        <w:ind w:left="248" w:hanging="248"/>
        <w:spacing w:after="0"/>
        <w:tabs>
          <w:tab w:leader="none" w:pos="248" w:val="left"/>
        </w:tabs>
        <w:numPr>
          <w:ilvl w:val="0"/>
          <w:numId w:val="2"/>
        </w:numPr>
        <w:rPr>
          <w:rFonts w:ascii="Arial" w:cs="Arial" w:eastAsia="Arial" w:hAnsi="Arial"/>
          <w:sz w:val="11"/>
          <w:szCs w:val="11"/>
          <w:i w:val="1"/>
          <w:iCs w:val="1"/>
          <w:color w:val="auto"/>
        </w:rPr>
      </w:pPr>
      <w:r>
        <w:rPr>
          <w:rFonts w:ascii="Arial" w:cs="Arial" w:eastAsia="Arial" w:hAnsi="Arial"/>
          <w:sz w:val="11"/>
          <w:szCs w:val="11"/>
          <w:i w:val="1"/>
          <w:iCs w:val="1"/>
          <w:color w:val="auto"/>
        </w:rPr>
        <w:t>Exhibits.</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240" w:type="dxa"/>
            <w:vAlign w:val="bottom"/>
            <w:gridSpan w:val="3"/>
          </w:tcPr>
          <w:p>
            <w:pPr>
              <w:spacing w:after="0"/>
              <w:rPr>
                <w:sz w:val="20"/>
                <w:szCs w:val="20"/>
                <w:color w:val="auto"/>
              </w:rPr>
            </w:pPr>
            <w:r>
              <w:rPr>
                <w:rFonts w:ascii="Arial" w:cs="Arial" w:eastAsia="Arial" w:hAnsi="Arial"/>
                <w:sz w:val="11"/>
                <w:szCs w:val="11"/>
                <w:color w:val="auto"/>
              </w:rPr>
              <w:t>Exhibit No.</w:t>
            </w:r>
          </w:p>
        </w:tc>
        <w:tc>
          <w:tcPr>
            <w:tcW w:w="5260" w:type="dxa"/>
            <w:vAlign w:val="bottom"/>
            <w:gridSpan w:val="4"/>
          </w:tcPr>
          <w:p>
            <w:pPr>
              <w:spacing w:after="0"/>
              <w:rPr>
                <w:sz w:val="20"/>
                <w:szCs w:val="20"/>
                <w:color w:val="auto"/>
              </w:rPr>
            </w:pPr>
            <w:r>
              <w:rPr>
                <w:rFonts w:ascii="Arial" w:cs="Arial" w:eastAsia="Arial" w:hAnsi="Arial"/>
                <w:sz w:val="11"/>
                <w:szCs w:val="1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24"/>
        </w:trPr>
        <w:tc>
          <w:tcPr>
            <w:tcW w:w="220" w:type="dxa"/>
            <w:vAlign w:val="bottom"/>
            <w:tcBorders>
              <w:bottom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1</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320" w:type="dxa"/>
            <w:vAlign w:val="bottom"/>
            <w:tcBorders>
              <w:bottom w:val="single" w:sz="8" w:color="0000FF"/>
            </w:tcBorders>
            <w:gridSpan w:val="3"/>
          </w:tcPr>
          <w:p>
            <w:pPr>
              <w:spacing w:after="0" w:line="124" w:lineRule="exact"/>
              <w:rPr>
                <w:sz w:val="20"/>
                <w:szCs w:val="20"/>
                <w:color w:val="auto"/>
              </w:rPr>
            </w:pPr>
            <w:r>
              <w:rPr>
                <w:rFonts w:ascii="Arial" w:cs="Arial" w:eastAsia="Arial" w:hAnsi="Arial"/>
                <w:sz w:val="11"/>
                <w:szCs w:val="11"/>
                <w:color w:val="0000FF"/>
                <w:w w:val="97"/>
              </w:rPr>
              <w:t>Press release and earnings release attachments</w:t>
            </w:r>
          </w:p>
        </w:tc>
        <w:tc>
          <w:tcPr>
            <w:tcW w:w="2940" w:type="dxa"/>
            <w:vAlign w:val="bottom"/>
          </w:tcPr>
          <w:p>
            <w:pPr>
              <w:spacing w:after="0"/>
              <w:rPr>
                <w:sz w:val="10"/>
                <w:szCs w:val="10"/>
                <w:color w:val="auto"/>
              </w:rPr>
            </w:pPr>
          </w:p>
        </w:tc>
      </w:tr>
      <w:tr>
        <w:trPr>
          <w:trHeight w:val="124"/>
        </w:trPr>
        <w:tc>
          <w:tcPr>
            <w:tcW w:w="220" w:type="dxa"/>
            <w:vAlign w:val="bottom"/>
            <w:tcBorders>
              <w:bottom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2</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20" w:type="dxa"/>
            <w:vAlign w:val="bottom"/>
            <w:tcBorders>
              <w:bottom w:val="single" w:sz="8" w:color="0000FF"/>
            </w:tcBorders>
            <w:gridSpan w:val="2"/>
          </w:tcPr>
          <w:p>
            <w:pPr>
              <w:spacing w:after="0" w:line="124" w:lineRule="exact"/>
              <w:rPr>
                <w:sz w:val="20"/>
                <w:szCs w:val="20"/>
                <w:color w:val="auto"/>
              </w:rPr>
            </w:pPr>
            <w:r>
              <w:rPr>
                <w:rFonts w:ascii="Arial" w:cs="Arial" w:eastAsia="Arial" w:hAnsi="Arial"/>
                <w:sz w:val="11"/>
                <w:szCs w:val="11"/>
                <w:color w:val="0000FF"/>
                <w:w w:val="97"/>
              </w:rPr>
              <w:t>Earnings conference call presentation slides</w:t>
            </w:r>
          </w:p>
        </w:tc>
        <w:tc>
          <w:tcPr>
            <w:tcW w:w="3140" w:type="dxa"/>
            <w:vAlign w:val="bottom"/>
            <w:gridSpan w:val="2"/>
          </w:tcPr>
          <w:p>
            <w:pPr>
              <w:spacing w:after="0"/>
              <w:rPr>
                <w:sz w:val="10"/>
                <w:szCs w:val="10"/>
                <w:color w:val="auto"/>
              </w:rPr>
            </w:pPr>
          </w:p>
        </w:tc>
      </w:tr>
      <w:tr>
        <w:trPr>
          <w:trHeight w:val="149"/>
        </w:trPr>
        <w:tc>
          <w:tcPr>
            <w:tcW w:w="220" w:type="dxa"/>
            <w:vAlign w:val="bottom"/>
          </w:tcPr>
          <w:p>
            <w:pPr>
              <w:spacing w:after="0"/>
              <w:rPr>
                <w:sz w:val="20"/>
                <w:szCs w:val="20"/>
                <w:color w:val="auto"/>
              </w:rPr>
            </w:pPr>
            <w:r>
              <w:rPr>
                <w:rFonts w:ascii="Arial" w:cs="Arial" w:eastAsia="Arial" w:hAnsi="Arial"/>
                <w:sz w:val="11"/>
                <w:szCs w:val="11"/>
                <w:color w:val="auto"/>
              </w:rPr>
              <w:t>101</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60" w:type="dxa"/>
            <w:vAlign w:val="bottom"/>
            <w:gridSpan w:val="4"/>
          </w:tcPr>
          <w:p>
            <w:pPr>
              <w:spacing w:after="0"/>
              <w:rPr>
                <w:sz w:val="20"/>
                <w:szCs w:val="20"/>
                <w:color w:val="auto"/>
              </w:rPr>
            </w:pPr>
            <w:r>
              <w:rPr>
                <w:rFonts w:ascii="Arial" w:cs="Arial" w:eastAsia="Arial" w:hAnsi="Arial"/>
                <w:sz w:val="11"/>
                <w:szCs w:val="11"/>
                <w:color w:val="auto"/>
                <w:w w:val="97"/>
              </w:rPr>
              <w:t>Cover Page Interactive Data File - the cover page XBRL tags are embedded within the Inline XBRL document.</w:t>
            </w:r>
          </w:p>
        </w:tc>
      </w:tr>
      <w:tr>
        <w:trPr>
          <w:trHeight w:val="144"/>
        </w:trPr>
        <w:tc>
          <w:tcPr>
            <w:tcW w:w="220" w:type="dxa"/>
            <w:vAlign w:val="bottom"/>
          </w:tcPr>
          <w:p>
            <w:pPr>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60" w:type="dxa"/>
            <w:vAlign w:val="bottom"/>
            <w:gridSpan w:val="4"/>
          </w:tcPr>
          <w:p>
            <w:pPr>
              <w:spacing w:after="0"/>
              <w:rPr>
                <w:sz w:val="20"/>
                <w:szCs w:val="20"/>
                <w:color w:val="auto"/>
              </w:rPr>
            </w:pPr>
            <w:r>
              <w:rPr>
                <w:rFonts w:ascii="Arial" w:cs="Arial" w:eastAsia="Arial" w:hAnsi="Arial"/>
                <w:sz w:val="11"/>
                <w:szCs w:val="11"/>
                <w:color w:val="auto"/>
              </w:rPr>
              <w:t>The cover page from the Current Report on Form 8-K, formatted as Inline XBRL.</w:t>
            </w:r>
          </w:p>
        </w:tc>
      </w:tr>
    </w:tbl>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 * * *</w:t>
      </w:r>
    </w:p>
    <w:p>
      <w:pPr>
        <w:spacing w:after="0" w:line="17"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This combined Current Report on Form 8-K is being furnished separately by Constellation Energy Corporation and Constellation Energy Generation, LLC, (collectively, the Registrants). Information contained herein relating to one of the Registrants has been furnished by the Registrant on its own behalf. Neither Registrant makes any representation as to information relating to the other Registrant.</w:t>
      </w:r>
    </w:p>
    <w:p>
      <w:pPr>
        <w:spacing w:after="0" w:line="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spacing w:after="0" w:line="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the Registrants include those factors discussed herein, as well as the items discussed in (1) the Registrants' combined 2025 Annual Report on Form 10-K in (a) Part I, ITEM 1A. Risk Factors, (b) Part II, ITEM 7. Management’s Discussion and Analysis of Financial Condition and Results of Operations, and (c) Part II, ITEM 8. Financial Statements and Supplementary Data: Note 18 — Commitments and Contingencies; (2) the Registrants' First Quarter 2026 Quarterly Report on Form 10-Q (to be filed on May 11, 2026)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w:t>
      </w:r>
    </w:p>
    <w:p>
      <w:pPr>
        <w:spacing w:after="0" w:line="87"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Investors are cautioned not to place undue reliance on these forward-looking statements, whether written or oral, which apply only as of the date of this report. Neither Registrant undertakes any obligation to publicly release any revision to its forward-looking statements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561975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5"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33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each Registrant has duly caused this report to be signed on its behalf by the undersigned hereunto duly authorized.</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CONSTELLATION ENERGY CORPORATION</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Shane P. Smith</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Executive Vice President and Chief Financial Officer</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Constellation Energy Corporation</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CONSTELLATION ENERGY GENERATION, LLC</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Shane P. Smith</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Executive Vice President and Chief Financial Officer</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Constellation Energy Generation, LLC</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tcPr>
          <w:p>
            <w:pPr>
              <w:ind w:left="1620"/>
              <w:spacing w:after="0"/>
              <w:rPr>
                <w:sz w:val="20"/>
                <w:szCs w:val="20"/>
                <w:color w:val="auto"/>
              </w:rPr>
            </w:pPr>
            <w:r>
              <w:rPr>
                <w:rFonts w:ascii="Arial" w:cs="Arial" w:eastAsia="Arial" w:hAnsi="Arial"/>
                <w:sz w:val="12"/>
                <w:szCs w:val="12"/>
                <w:b w:val="1"/>
                <w:bCs w:val="1"/>
                <w:color w:val="auto"/>
              </w:rPr>
              <w:t>EXHIBIT INDEX</w:t>
            </w:r>
          </w:p>
        </w:tc>
      </w:tr>
      <w:tr>
        <w:trPr>
          <w:trHeight w:val="163"/>
        </w:trPr>
        <w:tc>
          <w:tcPr>
            <w:tcW w:w="880" w:type="dxa"/>
            <w:vAlign w:val="bottom"/>
            <w:gridSpan w:val="3"/>
          </w:tcPr>
          <w:p>
            <w:pPr>
              <w:spacing w:after="0"/>
              <w:rPr>
                <w:sz w:val="20"/>
                <w:szCs w:val="20"/>
                <w:color w:val="auto"/>
              </w:rPr>
            </w:pPr>
            <w:r>
              <w:rPr>
                <w:rFonts w:ascii="Arial" w:cs="Arial" w:eastAsia="Arial" w:hAnsi="Arial"/>
                <w:sz w:val="11"/>
                <w:szCs w:val="11"/>
                <w:color w:val="auto"/>
              </w:rPr>
              <w:t>Exhibit No.</w:t>
            </w:r>
          </w:p>
        </w:tc>
        <w:tc>
          <w:tcPr>
            <w:tcW w:w="5620" w:type="dxa"/>
            <w:vAlign w:val="bottom"/>
            <w:gridSpan w:val="5"/>
          </w:tcPr>
          <w:p>
            <w:pPr>
              <w:ind w:left="340"/>
              <w:spacing w:after="0"/>
              <w:rPr>
                <w:sz w:val="20"/>
                <w:szCs w:val="20"/>
                <w:color w:val="auto"/>
              </w:rPr>
            </w:pPr>
            <w:r>
              <w:rPr>
                <w:rFonts w:ascii="Arial" w:cs="Arial" w:eastAsia="Arial" w:hAnsi="Arial"/>
                <w:sz w:val="11"/>
                <w:szCs w:val="1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220" w:type="dxa"/>
            <w:vAlign w:val="bottom"/>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1</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80" w:type="dxa"/>
            <w:vAlign w:val="bottom"/>
            <w:gridSpan w:val="4"/>
          </w:tcPr>
          <w:p>
            <w:pPr>
              <w:spacing w:after="0" w:line="124" w:lineRule="exact"/>
              <w:rPr>
                <w:sz w:val="20"/>
                <w:szCs w:val="20"/>
                <w:color w:val="auto"/>
              </w:rPr>
            </w:pPr>
            <w:r>
              <w:rPr>
                <w:rFonts w:ascii="Arial" w:cs="Arial" w:eastAsia="Arial" w:hAnsi="Arial"/>
                <w:sz w:val="11"/>
                <w:szCs w:val="11"/>
                <w:color w:val="0000FF"/>
              </w:rPr>
              <w:t>Press release and earnings release attachments</w:t>
            </w:r>
          </w:p>
        </w:tc>
      </w:tr>
      <w:tr>
        <w:trPr>
          <w:trHeight w:val="124"/>
        </w:trPr>
        <w:tc>
          <w:tcPr>
            <w:tcW w:w="220" w:type="dxa"/>
            <w:vAlign w:val="bottom"/>
            <w:tcBorders>
              <w:top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2</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320" w:type="dxa"/>
            <w:vAlign w:val="bottom"/>
            <w:tcBorders>
              <w:top w:val="single" w:sz="8" w:color="0000FF"/>
            </w:tcBorders>
            <w:gridSpan w:val="3"/>
          </w:tcPr>
          <w:p>
            <w:pPr>
              <w:spacing w:after="0" w:line="124" w:lineRule="exact"/>
              <w:rPr>
                <w:sz w:val="20"/>
                <w:szCs w:val="20"/>
                <w:color w:val="auto"/>
              </w:rPr>
            </w:pPr>
            <w:r>
              <w:rPr>
                <w:rFonts w:ascii="Arial" w:cs="Arial" w:eastAsia="Arial" w:hAnsi="Arial"/>
                <w:sz w:val="11"/>
                <w:szCs w:val="11"/>
                <w:color w:val="0000FF"/>
              </w:rPr>
              <w:t>Earnings conference call presentation slides</w:t>
            </w:r>
          </w:p>
        </w:tc>
        <w:tc>
          <w:tcPr>
            <w:tcW w:w="2960" w:type="dxa"/>
            <w:vAlign w:val="bottom"/>
          </w:tcPr>
          <w:p>
            <w:pPr>
              <w:spacing w:after="0"/>
              <w:rPr>
                <w:sz w:val="10"/>
                <w:szCs w:val="10"/>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r>
      <w:tr>
        <w:trPr>
          <w:trHeight w:val="149"/>
        </w:trPr>
        <w:tc>
          <w:tcPr>
            <w:tcW w:w="220" w:type="dxa"/>
            <w:vAlign w:val="bottom"/>
          </w:tcPr>
          <w:p>
            <w:pPr>
              <w:spacing w:after="0"/>
              <w:rPr>
                <w:sz w:val="20"/>
                <w:szCs w:val="20"/>
                <w:color w:val="auto"/>
              </w:rPr>
            </w:pPr>
            <w:r>
              <w:rPr>
                <w:rFonts w:ascii="Arial" w:cs="Arial" w:eastAsia="Arial" w:hAnsi="Arial"/>
                <w:sz w:val="11"/>
                <w:szCs w:val="11"/>
                <w:color w:val="auto"/>
              </w:rPr>
              <w:t>101</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80" w:type="dxa"/>
            <w:vAlign w:val="bottom"/>
            <w:gridSpan w:val="4"/>
          </w:tcPr>
          <w:p>
            <w:pPr>
              <w:spacing w:after="0"/>
              <w:rPr>
                <w:sz w:val="20"/>
                <w:szCs w:val="20"/>
                <w:color w:val="auto"/>
              </w:rPr>
            </w:pPr>
            <w:r>
              <w:rPr>
                <w:rFonts w:ascii="Arial" w:cs="Arial" w:eastAsia="Arial" w:hAnsi="Arial"/>
                <w:sz w:val="11"/>
                <w:szCs w:val="11"/>
                <w:color w:val="auto"/>
                <w:w w:val="98"/>
              </w:rPr>
              <w:t>Cover Page Interactive Data File - the cover page XBRL tags are embedded within the Inline XBRL document.</w:t>
            </w:r>
          </w:p>
        </w:tc>
      </w:tr>
      <w:tr>
        <w:trPr>
          <w:trHeight w:val="144"/>
        </w:trPr>
        <w:tc>
          <w:tcPr>
            <w:tcW w:w="220" w:type="dxa"/>
            <w:vAlign w:val="bottom"/>
          </w:tcPr>
          <w:p>
            <w:pPr>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20" w:type="dxa"/>
            <w:vAlign w:val="bottom"/>
            <w:gridSpan w:val="5"/>
          </w:tcPr>
          <w:p>
            <w:pPr>
              <w:ind w:left="340"/>
              <w:spacing w:after="0"/>
              <w:rPr>
                <w:sz w:val="20"/>
                <w:szCs w:val="20"/>
                <w:color w:val="auto"/>
              </w:rPr>
            </w:pPr>
            <w:r>
              <w:rPr>
                <w:rFonts w:ascii="Arial" w:cs="Arial" w:eastAsia="Arial" w:hAnsi="Arial"/>
                <w:sz w:val="11"/>
                <w:szCs w:val="11"/>
                <w:color w:val="auto"/>
              </w:rPr>
              <w:t>The cover page from the Current Report on Form 8-K, formatted as Inline XBRL.</w:t>
            </w:r>
          </w:p>
        </w:tc>
      </w:tr>
    </w:tbl>
    <w:p>
      <w:pPr>
        <w:sectPr>
          <w:pgSz w:w="11900" w:h="16838" w:orient="portrait"/>
          <w:cols w:equalWidth="0" w:num="1">
            <w:col w:w="10119"/>
          </w:cols>
          <w:pgMar w:left="340" w:top="102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885950" cy="657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657225"/>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Linsey Wisniewski</w:t>
      </w:r>
    </w:p>
    <w:p>
      <w:pPr>
        <w:spacing w:after="0" w:line="214" w:lineRule="auto"/>
        <w:rPr>
          <w:sz w:val="20"/>
          <w:szCs w:val="20"/>
          <w:color w:val="auto"/>
        </w:rPr>
      </w:pPr>
      <w:r>
        <w:rPr>
          <w:rFonts w:ascii="Times New Roman" w:cs="Times New Roman" w:eastAsia="Times New Roman" w:hAnsi="Times New Roman"/>
          <w:sz w:val="14"/>
          <w:szCs w:val="14"/>
          <w:color w:val="auto"/>
        </w:rPr>
        <w:t>Corporate Communications</w:t>
      </w:r>
    </w:p>
    <w:p>
      <w:pPr>
        <w:spacing w:after="0"/>
        <w:rPr>
          <w:sz w:val="20"/>
          <w:szCs w:val="20"/>
          <w:color w:val="auto"/>
        </w:rPr>
      </w:pPr>
      <w:r>
        <w:rPr>
          <w:rFonts w:ascii="Times New Roman" w:cs="Times New Roman" w:eastAsia="Times New Roman" w:hAnsi="Times New Roman"/>
          <w:sz w:val="14"/>
          <w:szCs w:val="14"/>
          <w:color w:val="auto"/>
        </w:rPr>
        <w:t>667-218-7700</w:t>
      </w:r>
    </w:p>
    <w:p>
      <w:pPr>
        <w:spacing w:after="0" w:line="128" w:lineRule="exact"/>
        <w:rPr>
          <w:sz w:val="20"/>
          <w:szCs w:val="20"/>
          <w:color w:val="auto"/>
        </w:rPr>
      </w:pPr>
    </w:p>
    <w:p>
      <w:pPr>
        <w:sectPr>
          <w:pgSz w:w="11900" w:h="16838" w:orient="portrait"/>
          <w:cols w:equalWidth="0" w:num="2">
            <w:col w:w="560" w:space="720"/>
            <w:col w:w="10020"/>
          </w:cols>
          <w:pgMar w:left="300" w:top="668" w:right="29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Tim Flottemesch</w:t>
      </w:r>
    </w:p>
    <w:p>
      <w:pPr>
        <w:ind w:left="1280"/>
        <w:spacing w:after="0" w:line="214" w:lineRule="auto"/>
        <w:rPr>
          <w:sz w:val="20"/>
          <w:szCs w:val="20"/>
          <w:color w:val="auto"/>
        </w:rPr>
      </w:pPr>
      <w:r>
        <w:rPr>
          <w:rFonts w:ascii="Times New Roman" w:cs="Times New Roman" w:eastAsia="Times New Roman" w:hAnsi="Times New Roman"/>
          <w:sz w:val="14"/>
          <w:szCs w:val="14"/>
          <w:color w:val="auto"/>
        </w:rPr>
        <w:t>Investor Relations</w:t>
      </w:r>
    </w:p>
    <w:p>
      <w:pPr>
        <w:ind w:left="1280"/>
        <w:spacing w:after="0"/>
        <w:rPr>
          <w:sz w:val="20"/>
          <w:szCs w:val="20"/>
          <w:color w:val="auto"/>
        </w:rPr>
      </w:pPr>
      <w:r>
        <w:rPr>
          <w:rFonts w:ascii="Times New Roman" w:cs="Times New Roman" w:eastAsia="Times New Roman" w:hAnsi="Times New Roman"/>
          <w:sz w:val="14"/>
          <w:szCs w:val="14"/>
          <w:color w:val="auto"/>
        </w:rPr>
        <w:t>833-447-2783</w:t>
      </w:r>
    </w:p>
    <w:p>
      <w:pPr>
        <w:sectPr>
          <w:pgSz w:w="11900" w:h="16838" w:orient="portrait"/>
          <w:cols w:equalWidth="0" w:num="1">
            <w:col w:w="11300"/>
          </w:cols>
          <w:pgMar w:left="300" w:top="668" w:right="29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CONSTELLATION REPORTS FIRST QUARTER 2026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Release Highlights</w:t>
      </w:r>
    </w:p>
    <w:p>
      <w:pPr>
        <w:spacing w:after="0" w:line="12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Income of $4.49 per share and Adjusted (non-GAAP) Operating Earnings of $2.74 per share for the first quarter of 2026</w:t>
      </w:r>
    </w:p>
    <w:p>
      <w:pPr>
        <w:spacing w:after="0" w:line="2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Affirming full year 2026 Adjusted Operating Earnings guidance of $11.00 - $12.00 per share</w:t>
      </w:r>
    </w:p>
    <w:p>
      <w:pPr>
        <w:spacing w:after="0" w:line="1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Commissioning of 105 megawatt (MW) Pastoria Solar Project</w:t>
      </w:r>
    </w:p>
    <w:p>
      <w:pPr>
        <w:spacing w:after="0" w:line="1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460 MW Pin Oak Creek Energy Center achieves commercial operation</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metering application for co-location of a data center at our Freestone site approved</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Ranked #1 on Barron's Most Sustainable U.S. Companies for 2026</w:t>
      </w:r>
    </w:p>
    <w:p>
      <w:pPr>
        <w:spacing w:after="0" w:line="10" w:lineRule="exact"/>
        <w:rPr>
          <w:rFonts w:ascii="Times New Roman" w:cs="Times New Roman" w:eastAsia="Times New Roman" w:hAnsi="Times New Roman"/>
          <w:sz w:val="14"/>
          <w:szCs w:val="14"/>
          <w:color w:val="auto"/>
        </w:rPr>
      </w:pPr>
    </w:p>
    <w:p>
      <w:pPr>
        <w:ind w:left="420" w:right="20" w:hanging="212"/>
        <w:spacing w:after="0" w:line="285"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demonstrated their commitment to our communities by volunteering at over 150 events across 15 states and Washington, D.C. during April 2026, in honor of National Volunteer Month</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Baltimore (May 11, 2026) </w:t>
      </w:r>
      <w:r>
        <w:rPr>
          <w:rFonts w:ascii="Times New Roman" w:cs="Times New Roman" w:eastAsia="Times New Roman" w:hAnsi="Times New Roman"/>
          <w:sz w:val="14"/>
          <w:szCs w:val="14"/>
          <w:color w:val="auto"/>
        </w:rPr>
        <w:t>— Constellation Energy Corporation (Nasdaq: CEG) today reported its financial results for the first quarter of 2026.</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“America needs reliable, clean power and Constellation is built to meet this demand with the strength of our fleet and the solutions we’re delivering for customers,” said Joe Dominguez, president and CEO of Constellation. “Right now, our focus is on execution – operating at a high level, integrating two great companies, bringing new resources to market, and navigating a changing regulatory environment – led by the women and men who power our business every day.”</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first-quarter results reflect continued operational excellence from our entire organization,” said Shane Smith, executive vice president and chief financial officer of Constellation. “We are affirming our full-year guidance and the expectation of strong, visible cash flow that supports our strategic capital allocation framework.”</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68" w:right="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First Quarter 2026</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GAAP Net Income for the first quarter of 2026 increased to $4.49 per share from $0.38 per share in the first quarter of 2025. Adjusted (non-GAAP) Operating Earnings for the first quarter of 2026 increased to $2.74 per share from $2.14 per share in the first quarter of 2025. For the reconciliations of GAAP Net Income (Loss) to Adjusted (non-GAAP) Operating Earnings, refer to the GAAP/Adjusted (non-GAAP) Operating Earnings Reconciliation section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(non-GAAP) Operating Earnings in the first quarter of 2026 primarily reflects:</w:t>
      </w:r>
    </w:p>
    <w:p>
      <w:pPr>
        <w:spacing w:after="0" w:line="11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 of Calpine, favorable stock-based compensation, nuclear PTC portfolio and market and portfolio conditions, partially offset by unfavorable nuclear outages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 and First Quarter Highlights</w:t>
      </w:r>
    </w:p>
    <w:p>
      <w:pPr>
        <w:spacing w:after="0" w:line="118" w:lineRule="exact"/>
        <w:rPr>
          <w:sz w:val="20"/>
          <w:szCs w:val="20"/>
          <w:color w:val="auto"/>
        </w:rPr>
      </w:pPr>
    </w:p>
    <w:p>
      <w:pPr>
        <w:jc w:val="both"/>
        <w:ind w:left="420" w:hanging="212"/>
        <w:spacing w:after="0" w:line="269" w:lineRule="auto"/>
        <w:tabs>
          <w:tab w:leader="none" w:pos="4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Pastoria Solar Project Comes Online: </w:t>
      </w:r>
      <w:r>
        <w:rPr>
          <w:rFonts w:ascii="Times New Roman" w:cs="Times New Roman" w:eastAsia="Times New Roman" w:hAnsi="Times New Roman"/>
          <w:sz w:val="14"/>
          <w:szCs w:val="14"/>
          <w:color w:val="auto"/>
        </w:rPr>
        <w:t>On April 16, 2026 we celebrated the commissioning of the 105 MW Pastoria Solar Project, the largest renewable energy project contracted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California Department of Water Resources (DWR) to date in its mission to fully decarbonize its operations by 2035. The Pastoria Solar Project connects to the grid through the interconnection facilities at the highly efficient 750 MW natural gas-fired combined-cycle generating facility. Also, co-located with the Pastoria Solar Project is the 80 MW/320 MWh Battery Energy Storage System, which will be coming online during the spring/summer of 2026. The Pastoria Power Bank is contracted and supported by a 15-year power purchase agreement with Pacific Gas and Electric Company.</w:t>
      </w:r>
    </w:p>
    <w:p>
      <w:pPr>
        <w:spacing w:after="0" w:line="60" w:lineRule="exact"/>
        <w:rPr>
          <w:rFonts w:ascii="Times New Roman" w:cs="Times New Roman" w:eastAsia="Times New Roman" w:hAnsi="Times New Roman"/>
          <w:sz w:val="14"/>
          <w:szCs w:val="14"/>
          <w:b w:val="1"/>
          <w:bCs w:val="1"/>
          <w:color w:val="auto"/>
        </w:rPr>
      </w:pPr>
    </w:p>
    <w:p>
      <w:pPr>
        <w:jc w:val="both"/>
        <w:ind w:left="420" w:hanging="212"/>
        <w:spacing w:after="0" w:line="260" w:lineRule="auto"/>
        <w:tabs>
          <w:tab w:leader="none" w:pos="4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Pin Oak Creek Energy Center Reaches Commercial Operation: </w:t>
      </w:r>
      <w:r>
        <w:rPr>
          <w:rFonts w:ascii="Times New Roman" w:cs="Times New Roman" w:eastAsia="Times New Roman" w:hAnsi="Times New Roman"/>
          <w:sz w:val="14"/>
          <w:szCs w:val="14"/>
          <w:color w:val="auto"/>
        </w:rPr>
        <w:t>On April 30, 2026, our Pin Oak Creek Energy Center achieved commercial operation. Pin Oak is a 460 MW, state-of-the-art natural gas facility designed to provide reliable, dispatchable power to the ERCOT grid. As a peaking facility, it is built to operate when demand is highest and reliability matters most, while also maintaining the flexibility to run longer if system conditions require it. The project is a direct response to Texas’ continued growth and increasing electricity demand across homes, businesses, and industry. Pin Oak Creek will play a critical role in strengthening grid reliability and supporting the state’s economic momentum.</w:t>
      </w:r>
    </w:p>
    <w:p>
      <w:pPr>
        <w:spacing w:after="0" w:line="130" w:lineRule="exact"/>
        <w:rPr>
          <w:rFonts w:ascii="Times New Roman" w:cs="Times New Roman" w:eastAsia="Times New Roman" w:hAnsi="Times New Roman"/>
          <w:sz w:val="14"/>
          <w:szCs w:val="14"/>
          <w:b w:val="1"/>
          <w:bCs w:val="1"/>
          <w:color w:val="auto"/>
        </w:rPr>
      </w:pPr>
    </w:p>
    <w:p>
      <w:pPr>
        <w:jc w:val="both"/>
        <w:ind w:left="420" w:hanging="212"/>
        <w:spacing w:after="0" w:line="255" w:lineRule="auto"/>
        <w:tabs>
          <w:tab w:leader="none" w:pos="398" w:val="left"/>
        </w:tabs>
        <w:numPr>
          <w:ilvl w:val="0"/>
          <w:numId w:val="5"/>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 xml:space="preserve">Freestone Net Metering Application Approved: </w:t>
      </w:r>
      <w:r>
        <w:rPr>
          <w:rFonts w:ascii="Times New Roman" w:cs="Times New Roman" w:eastAsia="Times New Roman" w:hAnsi="Times New Roman"/>
          <w:sz w:val="14"/>
          <w:szCs w:val="14"/>
          <w:color w:val="auto"/>
        </w:rPr>
        <w:t>The PUCT has approved the net metering application for the co-location of a Cyrus One data center at our Freestone site,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In February we signed a 380 MW agreement with Dallas-based CyrusOne, a leading global data center developer and operator, to connect and serve a new data center adjacent to the Freestone Energy Center, in Freestone County, Texas. We also entered into an exclusive agreement to provide power, grid connectivity and site infrastructure for Phase 2, which will be an additional 380 MW.</w:t>
      </w:r>
    </w:p>
    <w:p>
      <w:pPr>
        <w:spacing w:after="0" w:line="116" w:lineRule="exact"/>
        <w:rPr>
          <w:rFonts w:ascii="Arial" w:cs="Arial" w:eastAsia="Arial" w:hAnsi="Arial"/>
          <w:sz w:val="14"/>
          <w:szCs w:val="14"/>
          <w:color w:val="auto"/>
        </w:rPr>
      </w:pPr>
    </w:p>
    <w:p>
      <w:pPr>
        <w:ind w:left="420" w:hanging="212"/>
        <w:spacing w:after="0" w:line="285" w:lineRule="auto"/>
        <w:tabs>
          <w:tab w:leader="none" w:pos="4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Ranked #1 on Barron's Most Sustainable U.S. Companies for 2026: </w:t>
      </w:r>
      <w:r>
        <w:rPr>
          <w:rFonts w:ascii="Times New Roman" w:cs="Times New Roman" w:eastAsia="Times New Roman" w:hAnsi="Times New Roman"/>
          <w:sz w:val="14"/>
          <w:szCs w:val="14"/>
          <w:color w:val="auto"/>
        </w:rPr>
        <w:t>We earned the No. 1 spot on Barron’s annual "Most Sustainable U.S. Companies" rankings, which evaluate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country's 1,000 largest publicly traded companies on 230 performance indicators including environmental impact, workforce development and community support.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76" w:right="299" w:bottom="1440" w:gutter="0" w:footer="0" w:header="0"/>
        </w:sectPr>
      </w:pPr>
    </w:p>
    <w:bookmarkStart w:id="6" w:name="page7"/>
    <w:bookmarkEnd w:id="6"/>
    <w:p>
      <w:pPr>
        <w:jc w:val="both"/>
        <w:ind w:left="220" w:hanging="212"/>
        <w:spacing w:after="0" w:line="273" w:lineRule="auto"/>
        <w:tabs>
          <w:tab w:leader="none" w:pos="21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Nuclear Operations: </w:t>
      </w:r>
      <w:r>
        <w:rPr>
          <w:rFonts w:ascii="Times New Roman" w:cs="Times New Roman" w:eastAsia="Times New Roman" w:hAnsi="Times New Roman"/>
          <w:sz w:val="14"/>
          <w:szCs w:val="14"/>
          <w:color w:val="auto"/>
        </w:rPr>
        <w:t>Our nuclear fleet, including our owned output from the Salem and South Texas Project (STP) Generating Stations, produced 44,666 gigawatt-hours (GWhs)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first quarter of 2026, compared with 45,582 GWhs in the first quarter of 2025. Excluding Salem and STP, our nuclear plants at ownership achieved a 92.3% capacity factor for the first quarter of 2026, compared with 94.1% for the first quarter of 2025. There were 99 planned refueling outage days in the first quarter of 2026 and 88 in the first quarter of 2025 for sites we operate. There were no non-refueling outage days in the first quarter of 2026 and 2025 for sites we operate.</w:t>
      </w:r>
    </w:p>
    <w:p>
      <w:pPr>
        <w:spacing w:after="0" w:line="68" w:lineRule="exact"/>
        <w:rPr>
          <w:rFonts w:ascii="Times New Roman" w:cs="Times New Roman" w:eastAsia="Times New Roman" w:hAnsi="Times New Roman"/>
          <w:sz w:val="14"/>
          <w:szCs w:val="14"/>
          <w:b w:val="1"/>
          <w:bCs w:val="1"/>
          <w:color w:val="auto"/>
        </w:rPr>
      </w:pPr>
    </w:p>
    <w:p>
      <w:pPr>
        <w:jc w:val="both"/>
        <w:ind w:left="220" w:hanging="212"/>
        <w:spacing w:after="0" w:line="269" w:lineRule="auto"/>
        <w:tabs>
          <w:tab w:leader="none" w:pos="2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Natural Gas, Oil, and Renewables Operations: </w:t>
      </w:r>
      <w:r>
        <w:rPr>
          <w:rFonts w:ascii="Times New Roman" w:cs="Times New Roman" w:eastAsia="Times New Roman" w:hAnsi="Times New Roman"/>
          <w:sz w:val="14"/>
          <w:szCs w:val="14"/>
          <w:color w:val="auto"/>
        </w:rPr>
        <w:t>As a result of our expanded fleet following the acquisition of Calpine in January 2026, we now consider Equivalent Forced Outage Factor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(EFOF) to be a key operational metric beginning in 2026. EFOF represents the percentage for which a generating unit is not available due to forced outages and forced deratings in a given period. The EFOF of our natural gas, oil, and pumped-storage hydro fleet for the first quarter of 2026 is 4.5%. Renewable energy capture for our wind, solar and run-of-river hydro fleet was 96.7% in the first quarter of 2026, compared with 96.2% in the first quarter of 2025.</w:t>
      </w: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100"/>
          </w:cols>
          <w:pgMar w:left="500" w:top="776"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4"/>
          <w:szCs w:val="14"/>
          <w:b w:val="1"/>
          <w:bCs w:val="1"/>
          <w:color w:val="auto"/>
        </w:rPr>
        <w:t>GAAP/Adjusted (non-GAAP) Operating Earnings Reconciliation</w:t>
      </w:r>
    </w:p>
    <w:p>
      <w:pPr>
        <w:spacing w:after="0" w:line="120"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The table below provides a reconciliation of GAAP Net Income to Adjusted (non-GAAP) Operating Earnings. Adjusted (non-GAAP) Operating Earnings is not a standardized financial measure and may not be comparable to other companies’ presentations of similarly titled measures.</w:t>
      </w:r>
    </w:p>
    <w:p>
      <w:pPr>
        <w:spacing w:after="0" w:line="6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4"/>
          <w:szCs w:val="14"/>
          <w:color w:val="auto"/>
        </w:rPr>
        <w:t>Unless otherwise noted, the income tax impact of each reconciling adjustment between GAAP Net Income (Loss) Attributable to Common Shareholders and Adjusted (non-GAAP) Operating Earnings is based on the marginal statutory federal and state income tax rates, taking into account whether the income or expense item is taxable or deductible, respectively, in whole or in part, which may result in an effective tax rate that differs from the marginal rate. The marginal statutory income tax rate was 25.5% for the three months ended March 31, 2026 and 2025. The following table provides a reconciliation between GAAP Net Income (Loss) Attributable to Common Shareholders and Adjusted (non-GAAP) Operating Earnings for the three months ended March 31, 2026 compared to the same period in 2025.</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8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34"/>
        </w:trPr>
        <w:tc>
          <w:tcPr>
            <w:tcW w:w="68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tcBorders>
              <w:bottom w:val="single" w:sz="8" w:color="auto"/>
            </w:tcBorders>
          </w:tcPr>
          <w:p>
            <w:pPr>
              <w:spacing w:after="0"/>
              <w:rPr>
                <w:sz w:val="11"/>
                <w:szCs w:val="11"/>
                <w:color w:val="auto"/>
              </w:rPr>
            </w:pPr>
          </w:p>
        </w:tc>
      </w:tr>
      <w:tr>
        <w:trPr>
          <w:trHeight w:val="71"/>
        </w:trPr>
        <w:tc>
          <w:tcPr>
            <w:tcW w:w="6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ind w:left="160"/>
              <w:spacing w:after="0" w:line="71" w:lineRule="exact"/>
              <w:rPr>
                <w:sz w:val="20"/>
                <w:szCs w:val="20"/>
                <w:color w:val="auto"/>
              </w:rPr>
            </w:pPr>
            <w:r>
              <w:rPr>
                <w:rFonts w:ascii="Times New Roman" w:cs="Times New Roman" w:eastAsia="Times New Roman" w:hAnsi="Times New Roman"/>
                <w:sz w:val="8"/>
                <w:szCs w:val="8"/>
                <w:b w:val="1"/>
                <w:bCs w:val="1"/>
                <w:color w:val="auto"/>
              </w:rPr>
              <w:t>Earnings</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jc w:val="right"/>
              <w:ind w:right="303"/>
              <w:spacing w:after="0" w:line="71" w:lineRule="exact"/>
              <w:rPr>
                <w:sz w:val="20"/>
                <w:szCs w:val="20"/>
                <w:color w:val="auto"/>
              </w:rPr>
            </w:pPr>
            <w:r>
              <w:rPr>
                <w:rFonts w:ascii="Times New Roman" w:cs="Times New Roman" w:eastAsia="Times New Roman" w:hAnsi="Times New Roman"/>
                <w:sz w:val="8"/>
                <w:szCs w:val="8"/>
                <w:b w:val="1"/>
                <w:bCs w:val="1"/>
                <w:color w:val="auto"/>
              </w:rPr>
              <w:t>Earnings</w:t>
            </w:r>
          </w:p>
        </w:tc>
      </w:tr>
      <w:tr>
        <w:trPr>
          <w:trHeight w:val="126"/>
        </w:trPr>
        <w:tc>
          <w:tcPr>
            <w:tcW w:w="68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(In millions, except per share data)</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Per Share</w:t>
            </w:r>
            <w:r>
              <w:rPr>
                <w:rFonts w:ascii="Times New Roman" w:cs="Times New Roman" w:eastAsia="Times New Roman" w:hAnsi="Times New Roman"/>
                <w:sz w:val="10"/>
                <w:szCs w:val="10"/>
                <w:b w:val="1"/>
                <w:bCs w:val="1"/>
                <w:color w:val="auto"/>
                <w:vertAlign w:val="superscript"/>
              </w:rPr>
              <w:t>(a)</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right"/>
              <w:ind w:right="263"/>
              <w:spacing w:after="0"/>
              <w:rPr>
                <w:sz w:val="20"/>
                <w:szCs w:val="20"/>
                <w:color w:val="auto"/>
              </w:rPr>
            </w:pPr>
            <w:r>
              <w:rPr>
                <w:rFonts w:ascii="Times New Roman" w:cs="Times New Roman" w:eastAsia="Times New Roman" w:hAnsi="Times New Roman"/>
                <w:sz w:val="8"/>
                <w:szCs w:val="8"/>
                <w:b w:val="1"/>
                <w:bCs w:val="1"/>
                <w:color w:val="auto"/>
              </w:rPr>
              <w:t>Per Share</w:t>
            </w:r>
            <w:r>
              <w:rPr>
                <w:rFonts w:ascii="Times New Roman" w:cs="Times New Roman" w:eastAsia="Times New Roman" w:hAnsi="Times New Roman"/>
                <w:sz w:val="10"/>
                <w:szCs w:val="10"/>
                <w:b w:val="1"/>
                <w:bCs w:val="1"/>
                <w:color w:val="auto"/>
                <w:vertAlign w:val="superscript"/>
              </w:rPr>
              <w:t>(a)</w:t>
            </w:r>
          </w:p>
        </w:tc>
      </w:tr>
      <w:tr>
        <w:trPr>
          <w:trHeight w:val="142"/>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Income (Loss) Attributable to Common Shareholders</w:t>
            </w:r>
          </w:p>
        </w:tc>
        <w:tc>
          <w:tcPr>
            <w:tcW w:w="400" w:type="dxa"/>
            <w:vAlign w:val="bottom"/>
            <w:tcBorders>
              <w:top w:val="single" w:sz="8" w:color="CCEEFF"/>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4.49</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118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0.38</w:t>
            </w:r>
          </w:p>
        </w:tc>
      </w:tr>
      <w:tr>
        <w:trPr>
          <w:trHeight w:val="153"/>
        </w:trPr>
        <w:tc>
          <w:tcPr>
            <w:tcW w:w="68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Unrealized (Gain) Loss on Fair Value Adjustments (net of taxes of $247 and $169, respectively)</w:t>
            </w:r>
            <w:r>
              <w:rPr>
                <w:rFonts w:ascii="Times New Roman" w:cs="Times New Roman" w:eastAsia="Times New Roman" w:hAnsi="Times New Roman"/>
                <w:sz w:val="15"/>
                <w:szCs w:val="15"/>
                <w:color w:val="auto"/>
                <w:vertAlign w:val="superscript"/>
              </w:rPr>
              <w:t>(b)</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1.61</w:t>
            </w:r>
          </w:p>
        </w:tc>
      </w:tr>
      <w:tr>
        <w:trPr>
          <w:trHeight w:val="153"/>
        </w:trPr>
        <w:tc>
          <w:tcPr>
            <w:tcW w:w="68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Decommissioning-Related Activities (net of taxes of $79 and $31, respectively)</w:t>
            </w:r>
            <w:r>
              <w:rPr>
                <w:rFonts w:ascii="Times New Roman" w:cs="Times New Roman" w:eastAsia="Times New Roman" w:hAnsi="Times New Roman"/>
                <w:sz w:val="15"/>
                <w:szCs w:val="15"/>
                <w:color w:val="auto"/>
                <w:vertAlign w:val="superscript"/>
              </w:rPr>
              <w:t>(c)</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0.06</w:t>
            </w:r>
          </w:p>
        </w:tc>
      </w:tr>
      <w:tr>
        <w:trPr>
          <w:trHeight w:val="153"/>
        </w:trPr>
        <w:tc>
          <w:tcPr>
            <w:tcW w:w="68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Amortization of Acquired Commodity Contracts (net of taxes of $53 and $—, respectively)</w:t>
            </w:r>
            <w:r>
              <w:rPr>
                <w:rFonts w:ascii="Times New Roman" w:cs="Times New Roman" w:eastAsia="Times New Roman" w:hAnsi="Times New Roman"/>
                <w:sz w:val="15"/>
                <w:szCs w:val="15"/>
                <w:color w:val="auto"/>
                <w:vertAlign w:val="superscript"/>
              </w:rPr>
              <w:t>(d)</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8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Calpine Merger and Integration Costs (net of taxes of $22 and $4, respectively)</w:t>
            </w:r>
            <w:r>
              <w:rPr>
                <w:rFonts w:ascii="Times New Roman" w:cs="Times New Roman" w:eastAsia="Times New Roman" w:hAnsi="Times New Roman"/>
                <w:sz w:val="15"/>
                <w:szCs w:val="15"/>
                <w:color w:val="auto"/>
                <w:vertAlign w:val="superscript"/>
              </w:rPr>
              <w:t>(e)</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Plant Retirements and Divestitures (net of taxes of $— and $4, respectively)</w:t>
            </w:r>
          </w:p>
        </w:tc>
        <w:tc>
          <w:tcPr>
            <w:tcW w:w="4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3"/>
                <w:szCs w:val="13"/>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Pension &amp; OPEB Non-Service (Credits) Costs (net of taxes of $7 and $3, respectively)</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Income Tax-Related Adjustments</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8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Noncontrolling Interests</w:t>
            </w:r>
            <w:r>
              <w:rPr>
                <w:rFonts w:ascii="Times New Roman" w:cs="Times New Roman" w:eastAsia="Times New Roman" w:hAnsi="Times New Roman"/>
                <w:sz w:val="15"/>
                <w:szCs w:val="15"/>
                <w:color w:val="auto"/>
                <w:vertAlign w:val="superscript"/>
              </w:rPr>
              <w:t>(f)</w:t>
            </w: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(non-GAAP) Operating Earnings</w:t>
            </w: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972</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2.74</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673</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2.14</w:t>
            </w:r>
          </w:p>
        </w:tc>
      </w:tr>
      <w:tr>
        <w:trPr>
          <w:trHeight w:val="20"/>
        </w:trPr>
        <w:tc>
          <w:tcPr>
            <w:tcW w:w="6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w:t>
      </w:r>
    </w:p>
    <w:p>
      <w:pPr>
        <w:spacing w:after="0" w:line="17"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may not sum due to rounding. Earnings per share amount is based on average diluted common shares outstanding of 354 million and 314 million for the three months ended March 31, 2026 and 2025, respectively.</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unrealized gains and losses on economic hedges, interest rate swaps, and fair value adjustments related to gas imbalances and equity investments.</w:t>
      </w:r>
    </w:p>
    <w:p>
      <w:pPr>
        <w:spacing w:after="0" w:line="6" w:lineRule="exact"/>
        <w:rPr>
          <w:rFonts w:ascii="Times New Roman" w:cs="Times New Roman" w:eastAsia="Times New Roman" w:hAnsi="Times New Roman"/>
          <w:sz w:val="12"/>
          <w:szCs w:val="12"/>
          <w:color w:val="auto"/>
        </w:rPr>
      </w:pPr>
    </w:p>
    <w:p>
      <w:pPr>
        <w:jc w:val="both"/>
        <w:ind w:left="208" w:hanging="208"/>
        <w:spacing w:after="0" w:line="250" w:lineRule="auto"/>
        <w:tabs>
          <w:tab w:leader="none" w:pos="206"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all gains and losses associated with NDTs, ARO accretion, ARC depreciation, ARO remeasurement, and impacts of contractual offset for Regulatory Agreement Units. The tax effects of Regulatory Agreement Units result in a 100% effective tax rate under contractual offset accounting. Additionally, the tax effects of NDT investment returns result in different effective tax rates depending on whether the underlying funds are held within qualified or non-qualified trusts.</w:t>
      </w: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2026, reflects the non-cash impacts of the amortization of certain commodity contracts recorded at fair value associated with the Calpine acquisition.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costs associated with the completion of the Calpine merger and subsequent integration of its operations. Certain of these transaction-related expenses are not tax deductible.</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elimination of the noncontrolling interest portion of certain adjustments included above.</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Webcast Information</w:t>
      </w:r>
    </w:p>
    <w:p>
      <w:pPr>
        <w:spacing w:after="0" w:line="120" w:lineRule="exact"/>
        <w:rPr>
          <w:sz w:val="20"/>
          <w:szCs w:val="20"/>
          <w:color w:val="auto"/>
        </w:rPr>
      </w:pPr>
    </w:p>
    <w:p>
      <w:pPr>
        <w:ind w:left="8"/>
        <w:spacing w:after="0" w:line="309" w:lineRule="auto"/>
        <w:rPr>
          <w:sz w:val="20"/>
          <w:szCs w:val="20"/>
          <w:color w:val="auto"/>
        </w:rPr>
      </w:pPr>
      <w:r>
        <w:rPr>
          <w:rFonts w:ascii="Times New Roman" w:cs="Times New Roman" w:eastAsia="Times New Roman" w:hAnsi="Times New Roman"/>
          <w:sz w:val="14"/>
          <w:szCs w:val="14"/>
          <w:color w:val="auto"/>
        </w:rPr>
        <w:t>We will discuss first quarter 2026 earnings in a conference call scheduled for today at 10:00 a.m. Eastern Time. The webcast and associated materials can be accessed at https://investors.constellationenergy.com.</w:t>
      </w: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776"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About Constellation</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Constellation Energy Corporation (Nasdaq: CEG), a Fortune 200 company headquartered in Baltimore, is the largest private-sector power producer in the world and the nation’s largest producer of clean and reliable energy. With 55 gigawatts of capacity from nuclear, natural gas, oil,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80% of the Fortune 100. We are committed to investing in innovation and new technologies to drive the transition to a reliable, sustainable and secure energy future. Follow Constellation on LinkedIn and X.</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utilize Adjusted (non-GAAP) Operating Earnings (and/or its per share equivalent) in our internal analysis, and in communications with investors and analysts, as a consistent measure for comparing our financial performance and discussing the factors and trends affecting our business. The presentation of Adjusted (non-GAAP) Operating Earnings is intended to complement and should not be considered an alternative to, nor more useful than, the presentation of GAAP Net Income (Loss).</w:t>
      </w:r>
    </w:p>
    <w:p>
      <w:pPr>
        <w:spacing w:after="0" w:line="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The tables above provide a reconciliation of GAAP Net Income (Loss) to Adjusted (non-GAAP) Operating Earnings. Adjusted (non-GAAP) Operating Earnings is not a standardized financial measure and may not be comparable to other companies’ presentations of similarly titled measures.</w:t>
      </w:r>
    </w:p>
    <w:p>
      <w:pPr>
        <w:spacing w:after="0" w:line="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Due to the forward-looking nature of our Adjusted (non-GAAP) Operating Earnings guidance, we are unable to reconcile this non-GAAP financial measure to GAAP Net Income (Loss) given the inherent uncertainty required in projecting gains and losses associated with the various fair value adjustments required by GAAP. These adjustments include future changes in fair value impacting the derivative instruments utilized in our current business operations, as well as the debt and equity securities held within our nuclear decommissioning trusts, which may have a material impact on our future GAAP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Statements Regarding Forward-Looking Information</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press release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Constellation Energy Corporation and Constellation Energy Generation, LLC, (the Registrants) include those factors discussed herein, as well as the items discussed in (1) the Registrants' 2025 Annual Report on Form 10-K in (a) Part I, ITEM 1A. Risk Factors, (b) Part II, ITEM 7. Management’s Discussion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776" w:right="299" w:bottom="1440" w:gutter="0" w:footer="0" w:header="0"/>
        </w:sectPr>
      </w:pPr>
    </w:p>
    <w:bookmarkStart w:id="9" w:name="page10"/>
    <w:bookmarkEnd w:id="9"/>
    <w:p>
      <w:pPr>
        <w:jc w:val="both"/>
        <w:spacing w:after="0" w:line="272" w:lineRule="auto"/>
        <w:rPr>
          <w:sz w:val="20"/>
          <w:szCs w:val="20"/>
          <w:color w:val="auto"/>
        </w:rPr>
      </w:pPr>
      <w:r>
        <w:rPr>
          <w:rFonts w:ascii="Times New Roman" w:cs="Times New Roman" w:eastAsia="Times New Roman" w:hAnsi="Times New Roman"/>
          <w:sz w:val="14"/>
          <w:szCs w:val="14"/>
          <w:color w:val="auto"/>
        </w:rPr>
        <w:t>Analysis of Financial Condition and Results of Operations, and (c) Part II, ITEM 8. Financial Statements and Supplementary Data: Note 18 — Commitments and Contingencies; (2) the Registrants' First Quarter 2026 Quarterly Report on Form 10-Q (to be filed on May 11, 2026)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w:t>
      </w:r>
    </w:p>
    <w:p>
      <w:pPr>
        <w:spacing w:after="0" w:line="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Investors are cautioned not to place undue reliance on these forward-looking statements, whether written or oral, which apply only as of the date of this press release. Neither Registrant undertakes any obligation to publicly release any revision to its forward-looking statements to reflect events or circumstances after the date of this press release.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778"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Earnings Release Attachments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Consolidated Statements of Operations</w:t>
            </w:r>
          </w:p>
        </w:tc>
        <w:tc>
          <w:tcPr>
            <w:tcW w:w="6600" w:type="dxa"/>
            <w:vAlign w:val="bottom"/>
            <w:gridSpan w:val="3"/>
          </w:tcPr>
          <w:p>
            <w:pPr>
              <w:spacing w:after="0"/>
              <w:rPr>
                <w:sz w:val="12"/>
                <w:szCs w:val="12"/>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96"/>
        </w:trPr>
        <w:tc>
          <w:tcPr>
            <w:tcW w:w="1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Consolidated Balance Sheets</w:t>
            </w:r>
          </w:p>
        </w:tc>
        <w:tc>
          <w:tcPr>
            <w:tcW w:w="7080" w:type="dxa"/>
            <w:vAlign w:val="bottom"/>
            <w:gridSpan w:val="4"/>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2</w:t>
            </w:r>
          </w:p>
        </w:tc>
      </w:tr>
      <w:tr>
        <w:trPr>
          <w:trHeight w:val="196"/>
        </w:trPr>
        <w:tc>
          <w:tcPr>
            <w:tcW w:w="1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Consolidated Statements of Cash Flows</w:t>
            </w:r>
          </w:p>
        </w:tc>
        <w:tc>
          <w:tcPr>
            <w:tcW w:w="6560" w:type="dxa"/>
            <w:vAlign w:val="bottom"/>
            <w:gridSpan w:val="2"/>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3</w:t>
            </w:r>
          </w:p>
        </w:tc>
      </w:tr>
      <w:tr>
        <w:trPr>
          <w:trHeight w:val="196"/>
        </w:trPr>
        <w:tc>
          <w:tcPr>
            <w:tcW w:w="8480" w:type="dxa"/>
            <w:vAlign w:val="bottom"/>
            <w:gridSpan w:val="6"/>
          </w:tcPr>
          <w:p>
            <w:pPr>
              <w:spacing w:after="0"/>
              <w:rPr>
                <w:sz w:val="20"/>
                <w:szCs w:val="20"/>
                <w:color w:val="auto"/>
              </w:rPr>
            </w:pPr>
            <w:r>
              <w:rPr>
                <w:rFonts w:ascii="Times New Roman" w:cs="Times New Roman" w:eastAsia="Times New Roman" w:hAnsi="Times New Roman"/>
                <w:sz w:val="12"/>
                <w:szCs w:val="12"/>
                <w:color w:val="0000FF"/>
              </w:rPr>
              <w:t>GAAP Consolidated Statements of Operations and Adjusted (non-GAAP) Operating Earnings Reconciling Adjustments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4</w:t>
            </w:r>
          </w:p>
        </w:tc>
      </w:tr>
      <w:tr>
        <w:trPr>
          <w:trHeight w:val="196"/>
        </w:trPr>
        <w:tc>
          <w:tcPr>
            <w:tcW w:w="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6"/>
              </w:rPr>
              <w:t>Statistics</w:t>
            </w:r>
          </w:p>
        </w:tc>
        <w:tc>
          <w:tcPr>
            <w:tcW w:w="5320" w:type="dxa"/>
            <w:vAlign w:val="bottom"/>
            <w:tcBorders>
              <w:top w:val="single" w:sz="8" w:color="0000FF"/>
            </w:tcBorders>
            <w:gridSpan w:val="4"/>
          </w:tcPr>
          <w:p>
            <w:pPr>
              <w:spacing w:after="0"/>
              <w:rPr>
                <w:sz w:val="17"/>
                <w:szCs w:val="17"/>
                <w:color w:val="auto"/>
              </w:rPr>
            </w:pPr>
          </w:p>
        </w:tc>
        <w:tc>
          <w:tcPr>
            <w:tcW w:w="272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5</w:t>
            </w:r>
          </w:p>
        </w:tc>
      </w:tr>
    </w:tbl>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Constellation Energy Corporation and Subsidiary Companies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1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Three Months Ended March 31, 2026</w:t>
      </w:r>
    </w:p>
    <w:p>
      <w:pPr>
        <w:sectPr>
          <w:pgSz w:w="11900" w:h="16838" w:orient="portrait"/>
          <w:cols w:equalWidth="0" w:num="1">
            <w:col w:w="11300"/>
          </w:cols>
          <w:pgMar w:left="300" w:top="129" w:right="299" w:bottom="1440" w:gutter="0" w:footer="0" w:header="0"/>
        </w:sectPr>
      </w:pP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Operating expenses</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Purchased power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1"/>
          <w:szCs w:val="11"/>
          <w:color w:val="auto"/>
        </w:rPr>
        <w:t>Operating and maintenance</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1"/>
          <w:szCs w:val="11"/>
          <w:color w:val="auto"/>
        </w:rPr>
        <w:t>Taxes other than income taxes</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Gain (loss) on sales of assets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Other income and (deductions)</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1"/>
          <w:szCs w:val="11"/>
          <w:color w:val="auto"/>
        </w:rPr>
        <w:t>Other, net</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Total other income and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Income (loss) before income taxes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0"/>
          <w:szCs w:val="10"/>
          <w:b w:val="1"/>
          <w:bCs w:val="1"/>
          <w:color w:val="auto"/>
        </w:rPr>
        <w:t>Equity in income (losses) of unconsolidated affiliates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880" w:type="dxa"/>
            <w:vAlign w:val="bottom"/>
            <w:tcBorders>
              <w:top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11,122</w:t>
            </w:r>
          </w:p>
        </w:tc>
      </w:tr>
    </w:tbl>
    <w:p>
      <w:pPr>
        <w:spacing w:after="0" w:line="1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6,352</w:t>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1,780</w:t>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443</w:t>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229</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8,804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01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0160" cy="5715"/>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14</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2,332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01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0160" cy="5715"/>
                    </a:xfrm>
                    <a:prstGeom prst="rect">
                      <a:avLst/>
                    </a:prstGeom>
                    <a:noFill/>
                  </pic:spPr>
                </pic:pic>
              </a:graphicData>
            </a:graphic>
          </wp:anchor>
        </w:drawing>
      </w:r>
    </w:p>
    <w:p>
      <w:pPr>
        <w:spacing w:after="0" w:line="1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color w:val="auto"/>
        </w:rPr>
        <w:t>(253)</w:t>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46</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01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0160" cy="5715"/>
                    </a:xfrm>
                    <a:prstGeom prst="rect">
                      <a:avLst/>
                    </a:prstGeom>
                    <a:noFill/>
                  </pic:spPr>
                </pic:pic>
              </a:graphicData>
            </a:graphic>
          </wp:anchor>
        </w:drawing>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2,125</w:t>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530</w:t>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color w:val="auto"/>
        </w:rPr>
        <w:t>8</w:t>
      </w:r>
    </w:p>
    <w:p>
      <w:pPr>
        <w:spacing w:after="0" w:line="14" w:lineRule="exact"/>
        <w:rPr>
          <w:sz w:val="20"/>
          <w:szCs w:val="20"/>
          <w:color w:val="auto"/>
        </w:rPr>
      </w:pPr>
    </w:p>
    <w:p>
      <w:pPr>
        <w:sectPr>
          <w:pgSz w:w="11900" w:h="16838" w:orient="portrait"/>
          <w:cols w:equalWidth="0" w:num="2">
            <w:col w:w="8560" w:space="720"/>
            <w:col w:w="2020"/>
          </w:cols>
          <w:pgMar w:left="300" w:top="129" w:right="29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92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160" w:type="dxa"/>
            <w:vAlign w:val="bottom"/>
            <w:tcBorders>
              <w:top w:val="single" w:sz="8" w:color="auto"/>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1,603</w:t>
            </w:r>
          </w:p>
        </w:tc>
      </w:tr>
      <w:tr>
        <w:trPr>
          <w:trHeight w:val="143"/>
        </w:trPr>
        <w:tc>
          <w:tcPr>
            <w:tcW w:w="9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income (loss) attributable to noncontrolling interests</w:t>
            </w: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0"/>
        </w:trPr>
        <w:tc>
          <w:tcPr>
            <w:tcW w:w="9280" w:type="dxa"/>
            <w:vAlign w:val="bottom"/>
            <w:tcBorders>
              <w:bottom w:val="single" w:sz="8" w:color="CCEEFF"/>
            </w:tcBorders>
            <w:shd w:val="clear" w:color="auto" w:fill="CCEEFF"/>
          </w:tcPr>
          <w:p>
            <w:pPr>
              <w:ind w:left="80"/>
              <w:spacing w:after="0" w:line="123" w:lineRule="exact"/>
              <w:rPr>
                <w:sz w:val="20"/>
                <w:szCs w:val="20"/>
                <w:color w:val="auto"/>
              </w:rPr>
            </w:pPr>
            <w:r>
              <w:rPr>
                <w:rFonts w:ascii="Times New Roman" w:cs="Times New Roman" w:eastAsia="Times New Roman" w:hAnsi="Times New Roman"/>
                <w:sz w:val="11"/>
                <w:szCs w:val="11"/>
                <w:b w:val="1"/>
                <w:bCs w:val="1"/>
                <w:color w:val="auto"/>
              </w:rPr>
              <w:t>Net income (loss) attributable to common shareholders</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1,590</w:t>
            </w:r>
          </w:p>
        </w:tc>
      </w:tr>
      <w:tr>
        <w:trPr>
          <w:trHeight w:val="388"/>
        </w:trPr>
        <w:tc>
          <w:tcPr>
            <w:tcW w:w="9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99"/>
              </w:rPr>
              <w:t>Three Months Ended March 31, 2025</w:t>
            </w:r>
          </w:p>
        </w:tc>
      </w:tr>
      <w:tr>
        <w:trPr>
          <w:trHeight w:val="141"/>
        </w:trPr>
        <w:tc>
          <w:tcPr>
            <w:tcW w:w="9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Operating revenues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6,788</w:t>
            </w:r>
          </w:p>
        </w:tc>
      </w:tr>
      <w:tr>
        <w:trPr>
          <w:trHeight w:val="143"/>
        </w:trPr>
        <w:tc>
          <w:tcPr>
            <w:tcW w:w="92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45"/>
        </w:trPr>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Purchased power and fuel</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4,384</w:t>
            </w:r>
          </w:p>
        </w:tc>
      </w:tr>
      <w:tr>
        <w:trPr>
          <w:trHeight w:val="142"/>
        </w:trPr>
        <w:tc>
          <w:tcPr>
            <w:tcW w:w="92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Operating and maintenance</w:t>
            </w:r>
          </w:p>
        </w:tc>
        <w:tc>
          <w:tcPr>
            <w:tcW w:w="16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w:t>
            </w:r>
          </w:p>
        </w:tc>
      </w:tr>
      <w:tr>
        <w:trPr>
          <w:trHeight w:val="146"/>
        </w:trPr>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r>
      <w:tr>
        <w:trPr>
          <w:trHeight w:val="142"/>
        </w:trPr>
        <w:tc>
          <w:tcPr>
            <w:tcW w:w="9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w:t>
            </w:r>
          </w:p>
        </w:tc>
      </w:tr>
      <w:tr>
        <w:trPr>
          <w:trHeight w:val="135"/>
        </w:trPr>
        <w:tc>
          <w:tcPr>
            <w:tcW w:w="9280" w:type="dxa"/>
            <w:vAlign w:val="bottom"/>
            <w:shd w:val="clear" w:color="auto" w:fill="CCEEFF"/>
          </w:tcPr>
          <w:p>
            <w:pPr>
              <w:ind w:left="440"/>
              <w:spacing w:after="0" w:line="122" w:lineRule="exact"/>
              <w:rPr>
                <w:sz w:val="20"/>
                <w:szCs w:val="20"/>
                <w:color w:val="auto"/>
              </w:rPr>
            </w:pPr>
            <w:r>
              <w:rPr>
                <w:rFonts w:ascii="Times New Roman" w:cs="Times New Roman" w:eastAsia="Times New Roman" w:hAnsi="Times New Roman"/>
                <w:sz w:val="11"/>
                <w:szCs w:val="11"/>
                <w:color w:val="auto"/>
              </w:rPr>
              <w:t>Total operating expenses</w:t>
            </w:r>
          </w:p>
        </w:tc>
        <w:tc>
          <w:tcPr>
            <w:tcW w:w="160" w:type="dxa"/>
            <w:vAlign w:val="bottom"/>
            <w:tcBorders>
              <w:bottom w:val="single" w:sz="8" w:color="auto"/>
            </w:tcBorders>
            <w:shd w:val="clear" w:color="auto" w:fill="CCEEFF"/>
          </w:tcPr>
          <w:p>
            <w:pPr>
              <w:spacing w:after="0"/>
              <w:rPr>
                <w:sz w:val="11"/>
                <w:szCs w:val="1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6,337</w:t>
            </w:r>
          </w:p>
        </w:tc>
      </w:tr>
      <w:tr>
        <w:trPr>
          <w:trHeight w:val="131"/>
        </w:trPr>
        <w:tc>
          <w:tcPr>
            <w:tcW w:w="9280" w:type="dxa"/>
            <w:vAlign w:val="bottom"/>
            <w:tcBorders>
              <w:bottom w:val="single" w:sz="8" w:color="CCEEFF"/>
            </w:tcBorders>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Operating income (loss)</w:t>
            </w:r>
          </w:p>
        </w:tc>
        <w:tc>
          <w:tcPr>
            <w:tcW w:w="1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451</w:t>
            </w:r>
          </w:p>
        </w:tc>
      </w:tr>
      <w:tr>
        <w:trPr>
          <w:trHeight w:val="126"/>
        </w:trPr>
        <w:tc>
          <w:tcPr>
            <w:tcW w:w="9280" w:type="dxa"/>
            <w:vAlign w:val="bottom"/>
            <w:shd w:val="clear" w:color="auto" w:fill="CCEEFF"/>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Other income and (deductions)</w:t>
            </w:r>
          </w:p>
        </w:tc>
        <w:tc>
          <w:tcPr>
            <w:tcW w:w="16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r>
      <w:tr>
        <w:trPr>
          <w:trHeight w:val="142"/>
        </w:trPr>
        <w:tc>
          <w:tcPr>
            <w:tcW w:w="92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Interest expense, net</w:t>
            </w:r>
          </w:p>
        </w:tc>
        <w:tc>
          <w:tcPr>
            <w:tcW w:w="16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r>
      <w:tr>
        <w:trPr>
          <w:trHeight w:val="146"/>
        </w:trPr>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Other, net</w:t>
            </w:r>
          </w:p>
        </w:tc>
        <w:tc>
          <w:tcPr>
            <w:tcW w:w="16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r>
      <w:tr>
        <w:trPr>
          <w:trHeight w:val="131"/>
        </w:trPr>
        <w:tc>
          <w:tcPr>
            <w:tcW w:w="9280" w:type="dxa"/>
            <w:vAlign w:val="bottom"/>
            <w:tcBorders>
              <w:bottom w:val="single" w:sz="8" w:color="CCEEFF"/>
            </w:tcBorders>
          </w:tcPr>
          <w:p>
            <w:pPr>
              <w:ind w:left="440"/>
              <w:spacing w:after="0" w:line="121" w:lineRule="exact"/>
              <w:rPr>
                <w:sz w:val="20"/>
                <w:szCs w:val="20"/>
                <w:color w:val="auto"/>
              </w:rPr>
            </w:pPr>
            <w:r>
              <w:rPr>
                <w:rFonts w:ascii="Times New Roman" w:cs="Times New Roman" w:eastAsia="Times New Roman" w:hAnsi="Times New Roman"/>
                <w:sz w:val="11"/>
                <w:szCs w:val="11"/>
                <w:color w:val="auto"/>
              </w:rPr>
              <w:t>Total other income and (deductions)</w:t>
            </w:r>
          </w:p>
        </w:tc>
        <w:tc>
          <w:tcPr>
            <w:tcW w:w="1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35"/>
        </w:trPr>
        <w:tc>
          <w:tcPr>
            <w:tcW w:w="9280" w:type="dxa"/>
            <w:vAlign w:val="bottom"/>
            <w:shd w:val="clear" w:color="auto" w:fill="CCEEFF"/>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Income (loss) before income taxes</w:t>
            </w: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r>
      <w:tr>
        <w:trPr>
          <w:trHeight w:val="143"/>
        </w:trPr>
        <w:tc>
          <w:tcPr>
            <w:tcW w:w="9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Income tax (benefit) expense</w:t>
            </w: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34"/>
        </w:trPr>
        <w:tc>
          <w:tcPr>
            <w:tcW w:w="9280" w:type="dxa"/>
            <w:vAlign w:val="bottom"/>
            <w:shd w:val="clear" w:color="auto" w:fill="CCEEFF"/>
          </w:tcPr>
          <w:p>
            <w:pPr>
              <w:ind w:left="80"/>
              <w:spacing w:after="0" w:line="123" w:lineRule="exact"/>
              <w:rPr>
                <w:sz w:val="20"/>
                <w:szCs w:val="20"/>
                <w:color w:val="auto"/>
              </w:rPr>
            </w:pPr>
            <w:r>
              <w:rPr>
                <w:rFonts w:ascii="Times New Roman" w:cs="Times New Roman" w:eastAsia="Times New Roman" w:hAnsi="Times New Roman"/>
                <w:sz w:val="11"/>
                <w:szCs w:val="11"/>
                <w:b w:val="1"/>
                <w:bCs w:val="1"/>
                <w:color w:val="auto"/>
              </w:rPr>
              <w:t>Net income (loss)</w:t>
            </w: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r>
      <w:tr>
        <w:trPr>
          <w:trHeight w:val="143"/>
        </w:trPr>
        <w:tc>
          <w:tcPr>
            <w:tcW w:w="9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income (loss) attributable to noncontrolling interests</w:t>
            </w: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0"/>
        </w:trPr>
        <w:tc>
          <w:tcPr>
            <w:tcW w:w="9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income (loss) attributable to common shareholders</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90"/>
        </w:trPr>
        <w:tc>
          <w:tcPr>
            <w:tcW w:w="9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Net income (loss) attributable to common shareholders from 2025 to 2026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29" w:right="2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Constellation Energy Corporation and Subsidiary Companies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6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23"/>
        </w:trPr>
        <w:tc>
          <w:tcPr>
            <w:tcW w:w="71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Assets</w:t>
            </w:r>
          </w:p>
        </w:tc>
        <w:tc>
          <w:tcPr>
            <w:tcW w:w="1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r>
      <w:tr>
        <w:trPr>
          <w:trHeight w:val="130"/>
        </w:trPr>
        <w:tc>
          <w:tcPr>
            <w:tcW w:w="7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52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3,641</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Restricted cash and cash equivalents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Accounts receivable</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4,266</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Derivative assets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Inventories, net</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1,736</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Renewable energy credits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Assets held for sale</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r>
      <w:tr>
        <w:trPr>
          <w:trHeight w:val="12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Other</w:t>
            </w: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509</w:t>
            </w:r>
          </w:p>
        </w:tc>
      </w:tr>
      <w:tr>
        <w:trPr>
          <w:trHeight w:val="130"/>
        </w:trPr>
        <w:tc>
          <w:tcPr>
            <w:tcW w:w="7160" w:type="dxa"/>
            <w:vAlign w:val="bottom"/>
            <w:shd w:val="clear" w:color="auto" w:fill="CCEEFF"/>
          </w:tcPr>
          <w:p>
            <w:pPr>
              <w:ind w:left="440"/>
              <w:spacing w:after="0" w:line="113" w:lineRule="exact"/>
              <w:rPr>
                <w:sz w:val="20"/>
                <w:szCs w:val="20"/>
                <w:color w:val="auto"/>
              </w:rPr>
            </w:pPr>
            <w:r>
              <w:rPr>
                <w:rFonts w:ascii="Times New Roman" w:cs="Times New Roman" w:eastAsia="Times New Roman" w:hAnsi="Times New Roman"/>
                <w:sz w:val="10"/>
                <w:szCs w:val="10"/>
                <w:color w:val="auto"/>
              </w:rPr>
              <w:t>Total current assets</w:t>
            </w:r>
          </w:p>
        </w:tc>
        <w:tc>
          <w:tcPr>
            <w:tcW w:w="15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18,009</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12,119</w:t>
            </w:r>
          </w:p>
        </w:tc>
      </w:tr>
      <w:tr>
        <w:trPr>
          <w:trHeight w:val="118"/>
        </w:trPr>
        <w:tc>
          <w:tcPr>
            <w:tcW w:w="716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Property, plant, and equipment, net</w:t>
            </w:r>
          </w:p>
        </w:tc>
        <w:tc>
          <w:tcPr>
            <w:tcW w:w="15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40,769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22,474</w:t>
            </w:r>
          </w:p>
        </w:tc>
      </w:tr>
      <w:tr>
        <w:trPr>
          <w:trHeight w:val="141"/>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Deferred debits and other assets</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Nuclear decommissioning trust funds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19,366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19,336</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Goodwill</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11,527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Derivative assets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w:t>
            </w:r>
          </w:p>
        </w:tc>
        <w:tc>
          <w:tcPr>
            <w:tcW w:w="15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5,127</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2,450</w:t>
            </w:r>
          </w:p>
        </w:tc>
      </w:tr>
      <w:tr>
        <w:trPr>
          <w:trHeight w:val="118"/>
        </w:trPr>
        <w:tc>
          <w:tcPr>
            <w:tcW w:w="7160" w:type="dxa"/>
            <w:vAlign w:val="bottom"/>
            <w:tcBorders>
              <w:bottom w:val="single" w:sz="8" w:color="CCEEFF"/>
            </w:tcBorders>
          </w:tcPr>
          <w:p>
            <w:pPr>
              <w:ind w:left="440"/>
              <w:spacing w:after="0" w:line="107" w:lineRule="exact"/>
              <w:rPr>
                <w:sz w:val="20"/>
                <w:szCs w:val="20"/>
                <w:color w:val="auto"/>
              </w:rPr>
            </w:pPr>
            <w:r>
              <w:rPr>
                <w:rFonts w:ascii="Times New Roman" w:cs="Times New Roman" w:eastAsia="Times New Roman" w:hAnsi="Times New Roman"/>
                <w:sz w:val="10"/>
                <w:szCs w:val="10"/>
                <w:color w:val="auto"/>
              </w:rPr>
              <w:t>Total deferred debits and other assets</w:t>
            </w:r>
          </w:p>
        </w:tc>
        <w:tc>
          <w:tcPr>
            <w:tcW w:w="1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38,133</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22,656</w:t>
            </w:r>
          </w:p>
        </w:tc>
      </w:tr>
      <w:tr>
        <w:trPr>
          <w:trHeight w:val="146"/>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520" w:type="dxa"/>
            <w:vAlign w:val="bottom"/>
            <w:tcBorders>
              <w:bottom w:val="single" w:sz="8" w:color="auto"/>
            </w:tcBorders>
            <w:shd w:val="clear" w:color="auto" w:fill="CCEEFF"/>
          </w:tcPr>
          <w:p>
            <w:pPr>
              <w:jc w:val="right"/>
              <w:ind w:right="141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96,911</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57,249</w:t>
            </w:r>
          </w:p>
        </w:tc>
      </w:tr>
      <w:tr>
        <w:trPr>
          <w:trHeight w:val="117"/>
        </w:trPr>
        <w:tc>
          <w:tcPr>
            <w:tcW w:w="7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35"/>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1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30"/>
        </w:trPr>
        <w:tc>
          <w:tcPr>
            <w:tcW w:w="7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Short-term borrowings</w:t>
            </w:r>
          </w:p>
        </w:tc>
        <w:tc>
          <w:tcPr>
            <w:tcW w:w="152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1,650</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Long-term debt due within one year</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4,294</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Derivative liabilities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Renewable energy credit obligation</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1,075</w:t>
            </w:r>
          </w:p>
        </w:tc>
      </w:tr>
      <w:tr>
        <w:trPr>
          <w:trHeight w:val="12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Other</w:t>
            </w: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1,291</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366</w:t>
            </w:r>
          </w:p>
        </w:tc>
      </w:tr>
      <w:tr>
        <w:trPr>
          <w:trHeight w:val="130"/>
        </w:trPr>
        <w:tc>
          <w:tcPr>
            <w:tcW w:w="7160" w:type="dxa"/>
            <w:vAlign w:val="bottom"/>
            <w:shd w:val="clear" w:color="auto" w:fill="CCEEFF"/>
          </w:tcPr>
          <w:p>
            <w:pPr>
              <w:ind w:left="440"/>
              <w:spacing w:after="0" w:line="113" w:lineRule="exact"/>
              <w:rPr>
                <w:sz w:val="20"/>
                <w:szCs w:val="20"/>
                <w:color w:val="auto"/>
              </w:rPr>
            </w:pPr>
            <w:r>
              <w:rPr>
                <w:rFonts w:ascii="Times New Roman" w:cs="Times New Roman" w:eastAsia="Times New Roman" w:hAnsi="Times New Roman"/>
                <w:sz w:val="10"/>
                <w:szCs w:val="10"/>
                <w:color w:val="auto"/>
              </w:rPr>
              <w:t>Total current liabilities</w:t>
            </w:r>
          </w:p>
        </w:tc>
        <w:tc>
          <w:tcPr>
            <w:tcW w:w="15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13,215</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7,944</w:t>
            </w:r>
          </w:p>
        </w:tc>
      </w:tr>
      <w:tr>
        <w:trPr>
          <w:trHeight w:val="118"/>
        </w:trPr>
        <w:tc>
          <w:tcPr>
            <w:tcW w:w="716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15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16,994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7,250</w:t>
            </w:r>
          </w:p>
        </w:tc>
      </w:tr>
      <w:tr>
        <w:trPr>
          <w:trHeight w:val="141"/>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Deferred credits and other liabilities</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Deferred income taxes and unamortized ITCs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8,199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3,544</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Asset retirement obligations</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12,433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13,193</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Pension and non-pension postretirement benefit obligations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1,977</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Payable related to Regulatory Agreement Units</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5,389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5,334</w:t>
            </w: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Derivative liabilities</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414</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w:t>
            </w:r>
          </w:p>
        </w:tc>
        <w:tc>
          <w:tcPr>
            <w:tcW w:w="15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4,508</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2,740</w:t>
            </w:r>
          </w:p>
        </w:tc>
      </w:tr>
      <w:tr>
        <w:trPr>
          <w:trHeight w:val="118"/>
        </w:trPr>
        <w:tc>
          <w:tcPr>
            <w:tcW w:w="7160" w:type="dxa"/>
            <w:vAlign w:val="bottom"/>
            <w:tcBorders>
              <w:bottom w:val="single" w:sz="8" w:color="CCEEFF"/>
            </w:tcBorders>
          </w:tcPr>
          <w:p>
            <w:pPr>
              <w:ind w:left="440"/>
              <w:spacing w:after="0" w:line="107" w:lineRule="exact"/>
              <w:rPr>
                <w:sz w:val="20"/>
                <w:szCs w:val="20"/>
                <w:color w:val="auto"/>
              </w:rPr>
            </w:pPr>
            <w:r>
              <w:rPr>
                <w:rFonts w:ascii="Times New Roman" w:cs="Times New Roman" w:eastAsia="Times New Roman" w:hAnsi="Times New Roman"/>
                <w:sz w:val="10"/>
                <w:szCs w:val="10"/>
                <w:color w:val="auto"/>
              </w:rPr>
              <w:t>Total deferred credits and other liabilities</w:t>
            </w:r>
          </w:p>
        </w:tc>
        <w:tc>
          <w:tcPr>
            <w:tcW w:w="1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32,882</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27,202</w:t>
            </w:r>
          </w:p>
        </w:tc>
      </w:tr>
      <w:tr>
        <w:trPr>
          <w:trHeight w:val="130"/>
        </w:trPr>
        <w:tc>
          <w:tcPr>
            <w:tcW w:w="7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5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63,091</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42,396</w:t>
            </w:r>
          </w:p>
        </w:tc>
      </w:tr>
      <w:tr>
        <w:trPr>
          <w:trHeight w:val="110"/>
        </w:trPr>
        <w:tc>
          <w:tcPr>
            <w:tcW w:w="716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14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29"/>
        </w:trPr>
        <w:tc>
          <w:tcPr>
            <w:tcW w:w="71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Common stock</w:t>
            </w:r>
          </w:p>
        </w:tc>
        <w:tc>
          <w:tcPr>
            <w:tcW w:w="1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28,574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11,043</w:t>
            </w:r>
          </w:p>
        </w:tc>
      </w:tr>
      <w:tr>
        <w:trPr>
          <w:trHeight w:val="141"/>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Retained earnings (deficit)</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7,334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5,899</w:t>
            </w:r>
          </w:p>
        </w:tc>
      </w:tr>
      <w:tr>
        <w:trPr>
          <w:trHeight w:val="12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Accumulated other comprehensive income (loss), net</w:t>
            </w: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(2,425)</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(2,425)</w:t>
            </w:r>
          </w:p>
        </w:tc>
      </w:tr>
      <w:tr>
        <w:trPr>
          <w:trHeight w:val="130"/>
        </w:trPr>
        <w:tc>
          <w:tcPr>
            <w:tcW w:w="7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equity</w:t>
            </w:r>
          </w:p>
        </w:tc>
        <w:tc>
          <w:tcPr>
            <w:tcW w:w="15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33,483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14,517</w:t>
            </w:r>
          </w:p>
        </w:tc>
      </w:tr>
      <w:tr>
        <w:trPr>
          <w:trHeight w:val="12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Noncontrolling interests</w:t>
            </w: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337</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336</w:t>
            </w:r>
          </w:p>
        </w:tc>
      </w:tr>
      <w:tr>
        <w:trPr>
          <w:trHeight w:val="124"/>
        </w:trPr>
        <w:tc>
          <w:tcPr>
            <w:tcW w:w="7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equity</w:t>
            </w:r>
          </w:p>
        </w:tc>
        <w:tc>
          <w:tcPr>
            <w:tcW w:w="15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33,820</w:t>
            </w: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14,853</w:t>
            </w:r>
          </w:p>
        </w:tc>
      </w:tr>
      <w:tr>
        <w:trPr>
          <w:trHeight w:val="130"/>
        </w:trPr>
        <w:tc>
          <w:tcPr>
            <w:tcW w:w="7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equity</w:t>
            </w:r>
          </w:p>
        </w:tc>
        <w:tc>
          <w:tcPr>
            <w:tcW w:w="1520" w:type="dxa"/>
            <w:vAlign w:val="bottom"/>
            <w:tcBorders>
              <w:bottom w:val="single" w:sz="8" w:color="auto"/>
            </w:tcBorders>
          </w:tcPr>
          <w:p>
            <w:pPr>
              <w:jc w:val="right"/>
              <w:ind w:right="141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96,911</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57,249</w:t>
            </w:r>
          </w:p>
        </w:tc>
      </w:tr>
      <w:tr>
        <w:trPr>
          <w:trHeight w:val="20"/>
        </w:trPr>
        <w:tc>
          <w:tcPr>
            <w:tcW w:w="7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Constellation Energy Corporation and Subsidiary Companies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2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320" w:type="dxa"/>
            <w:vAlign w:val="bottom"/>
            <w:tcBorders>
              <w:bottom w:val="single" w:sz="8" w:color="auto"/>
            </w:tcBorders>
          </w:tcPr>
          <w:p>
            <w:pPr>
              <w:spacing w:after="0"/>
              <w:rPr>
                <w:sz w:val="11"/>
                <w:szCs w:val="11"/>
                <w:color w:val="auto"/>
              </w:rPr>
            </w:pPr>
          </w:p>
        </w:tc>
      </w:tr>
      <w:tr>
        <w:trPr>
          <w:trHeight w:val="128"/>
        </w:trPr>
        <w:tc>
          <w:tcPr>
            <w:tcW w:w="70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0"/>
        </w:trPr>
        <w:tc>
          <w:tcPr>
            <w:tcW w:w="70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Net income (loss)</w:t>
            </w:r>
          </w:p>
        </w:tc>
        <w:tc>
          <w:tcPr>
            <w:tcW w:w="1320" w:type="dxa"/>
            <w:vAlign w:val="bottom"/>
          </w:tcPr>
          <w:p>
            <w:pPr>
              <w:jc w:val="right"/>
              <w:ind w:right="121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1,603</w:t>
            </w:r>
          </w:p>
        </w:tc>
        <w:tc>
          <w:tcPr>
            <w:tcW w:w="100" w:type="dxa"/>
            <w:vAlign w:val="bottom"/>
          </w:tcPr>
          <w:p>
            <w:pPr>
              <w:spacing w:after="0"/>
              <w:rPr>
                <w:sz w:val="11"/>
                <w:szCs w:val="11"/>
                <w:color w:val="auto"/>
              </w:rPr>
            </w:pPr>
          </w:p>
        </w:tc>
        <w:tc>
          <w:tcPr>
            <w:tcW w:w="780" w:type="dxa"/>
            <w:vAlign w:val="bottom"/>
          </w:tcPr>
          <w:p>
            <w:pPr>
              <w:jc w:val="right"/>
              <w:ind w:right="67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w:t>
            </w:r>
          </w:p>
        </w:tc>
      </w:tr>
      <w:tr>
        <w:trPr>
          <w:trHeight w:val="14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Adjustments to reconcile net income (loss) to net cash flows provided by (used in) operating activities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29"/>
        </w:trPr>
        <w:tc>
          <w:tcPr>
            <w:tcW w:w="70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Depreciation, amortization, and accretion, including nuclear fuel and contract amortization</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1,202</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w:t>
            </w: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Deferred income taxes and amortization of ITCs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w:t>
            </w:r>
          </w:p>
        </w:tc>
      </w:tr>
      <w:tr>
        <w:trPr>
          <w:trHeight w:val="129"/>
        </w:trPr>
        <w:tc>
          <w:tcPr>
            <w:tcW w:w="70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Net fair value changes related to derivatives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w:t>
            </w: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Net realized and unrealized (gains) losses on NDT funds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r>
      <w:tr>
        <w:trPr>
          <w:trHeight w:val="129"/>
        </w:trPr>
        <w:tc>
          <w:tcPr>
            <w:tcW w:w="70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Net realized and unrealized (gains) losses on equity investments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w:t>
            </w: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Other non-cash operating activities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Changes in assets and liabilities:</w:t>
            </w:r>
          </w:p>
        </w:tc>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Accounts receivable</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29"/>
        </w:trPr>
        <w:tc>
          <w:tcPr>
            <w:tcW w:w="70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Inventories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w:t>
            </w: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r>
      <w:tr>
        <w:trPr>
          <w:trHeight w:val="129"/>
        </w:trPr>
        <w:tc>
          <w:tcPr>
            <w:tcW w:w="70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Option premiums received (paid), net</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Collateral received (posted), net</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w:t>
            </w:r>
          </w:p>
        </w:tc>
      </w:tr>
      <w:tr>
        <w:trPr>
          <w:trHeight w:val="129"/>
        </w:trPr>
        <w:tc>
          <w:tcPr>
            <w:tcW w:w="70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Income taxes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w:t>
            </w:r>
          </w:p>
        </w:tc>
      </w:tr>
      <w:tr>
        <w:trPr>
          <w:trHeight w:val="14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Pension and non-pension postretirement benefit contributions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r>
      <w:tr>
        <w:trPr>
          <w:trHeight w:val="129"/>
        </w:trPr>
        <w:tc>
          <w:tcPr>
            <w:tcW w:w="7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0"/>
                <w:szCs w:val="10"/>
                <w:color w:val="auto"/>
              </w:rPr>
              <w:t>Other assets and liabilities</w:t>
            </w:r>
          </w:p>
        </w:tc>
        <w:tc>
          <w:tcPr>
            <w:tcW w:w="1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(789)</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(470)</w:t>
            </w:r>
          </w:p>
        </w:tc>
      </w:tr>
      <w:tr>
        <w:trPr>
          <w:trHeight w:val="130"/>
        </w:trPr>
        <w:tc>
          <w:tcPr>
            <w:tcW w:w="70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Net cash flows provided by (used in) operating activities</w:t>
            </w:r>
          </w:p>
        </w:tc>
        <w:tc>
          <w:tcPr>
            <w:tcW w:w="13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w:t>
            </w:r>
          </w:p>
        </w:tc>
      </w:tr>
      <w:tr>
        <w:trPr>
          <w:trHeight w:val="110"/>
        </w:trPr>
        <w:tc>
          <w:tcPr>
            <w:tcW w:w="702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4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Capital expenditures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(806)</w:t>
            </w: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Proceeds from NDT fund sales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2,504</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2,084</w:t>
            </w:r>
          </w:p>
        </w:tc>
      </w:tr>
      <w:tr>
        <w:trPr>
          <w:trHeight w:val="14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Investment in NDT funds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(2,152)</w:t>
            </w: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Acquisition of Calpine, net of cash and restricted cash acquired</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(2,537)</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 investing activities</w:t>
            </w:r>
          </w:p>
        </w:tc>
        <w:tc>
          <w:tcPr>
            <w:tcW w:w="13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w:t>
            </w: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18"/>
        </w:trPr>
        <w:tc>
          <w:tcPr>
            <w:tcW w:w="702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Net cash flows provided by (used in) investing activities</w:t>
            </w:r>
          </w:p>
        </w:tc>
        <w:tc>
          <w:tcPr>
            <w:tcW w:w="1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(3,732)</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(886)</w:t>
            </w:r>
          </w:p>
        </w:tc>
      </w:tr>
      <w:tr>
        <w:trPr>
          <w:trHeight w:val="121"/>
        </w:trPr>
        <w:tc>
          <w:tcPr>
            <w:tcW w:w="70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Change in short-term borrowings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1,957</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Proceeds from short-term borrowings with maturities greater than 90 days</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Repayments of short-term borrowings with maturities greater than 90 days</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Issuance of long-term debt</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Retirement of long-term debt</w:t>
            </w:r>
          </w:p>
        </w:tc>
        <w:tc>
          <w:tcPr>
            <w:tcW w:w="1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(5,254)</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w:t>
            </w:r>
          </w:p>
        </w:tc>
      </w:tr>
      <w:tr>
        <w:trPr>
          <w:trHeight w:val="14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Dividends paid on common stock</w:t>
            </w: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w:t>
            </w:r>
          </w:p>
        </w:tc>
      </w:tr>
      <w:tr>
        <w:trPr>
          <w:trHeight w:val="12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Other financing activities</w:t>
            </w:r>
          </w:p>
        </w:tc>
        <w:tc>
          <w:tcPr>
            <w:tcW w:w="1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(229)</w:t>
            </w:r>
          </w:p>
        </w:tc>
      </w:tr>
      <w:tr>
        <w:trPr>
          <w:trHeight w:val="130"/>
        </w:trPr>
        <w:tc>
          <w:tcPr>
            <w:tcW w:w="70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Net cash flows provided by (used in) financing activities</w:t>
            </w:r>
          </w:p>
        </w:tc>
        <w:tc>
          <w:tcPr>
            <w:tcW w:w="13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(408)</w:t>
            </w:r>
          </w:p>
        </w:tc>
      </w:tr>
      <w:tr>
        <w:trPr>
          <w:trHeight w:val="118"/>
        </w:trPr>
        <w:tc>
          <w:tcPr>
            <w:tcW w:w="702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Increase (decrease) in cash, restricted cash, and cash equivalents</w:t>
            </w:r>
          </w:p>
        </w:tc>
        <w:tc>
          <w:tcPr>
            <w:tcW w:w="13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(2,577)</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(1,187)</w:t>
            </w:r>
          </w:p>
        </w:tc>
      </w:tr>
      <w:tr>
        <w:trPr>
          <w:trHeight w:val="13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restricted cash, and cash equivalents at beginning of period</w:t>
            </w:r>
          </w:p>
        </w:tc>
        <w:tc>
          <w:tcPr>
            <w:tcW w:w="13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3,748</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3,129</w:t>
            </w:r>
          </w:p>
        </w:tc>
      </w:tr>
      <w:tr>
        <w:trPr>
          <w:trHeight w:val="129"/>
        </w:trPr>
        <w:tc>
          <w:tcPr>
            <w:tcW w:w="7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restricted cash, and cash equivalents at end of period</w:t>
            </w:r>
          </w:p>
        </w:tc>
        <w:tc>
          <w:tcPr>
            <w:tcW w:w="132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1,171</w:t>
            </w:r>
          </w:p>
        </w:tc>
        <w:tc>
          <w:tcPr>
            <w:tcW w:w="100" w:type="dxa"/>
            <w:vAlign w:val="bottom"/>
          </w:tcPr>
          <w:p>
            <w:pPr>
              <w:spacing w:after="0"/>
              <w:rPr>
                <w:sz w:val="11"/>
                <w:szCs w:val="11"/>
                <w:color w:val="auto"/>
              </w:rPr>
            </w:pPr>
          </w:p>
        </w:tc>
        <w:tc>
          <w:tcPr>
            <w:tcW w:w="7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1,942</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29"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Constellation Energy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Consolidated Statements of Operations and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Adjusted (non-GAAP) Operating Earnings Reconciling Adjustments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millions, except per share data)</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20" w:type="dxa"/>
            <w:vAlign w:val="bottom"/>
            <w:gridSpan w:val="6"/>
          </w:tcPr>
          <w:p>
            <w:pPr>
              <w:ind w:left="260"/>
              <w:spacing w:after="0"/>
              <w:rPr>
                <w:sz w:val="20"/>
                <w:szCs w:val="20"/>
                <w:color w:val="auto"/>
              </w:rPr>
            </w:pPr>
            <w:r>
              <w:rPr>
                <w:rFonts w:ascii="Times New Roman" w:cs="Times New Roman" w:eastAsia="Times New Roman" w:hAnsi="Times New Roman"/>
                <w:sz w:val="10"/>
                <w:szCs w:val="10"/>
                <w:b w:val="1"/>
                <w:bCs w:val="1"/>
                <w:color w:val="auto"/>
              </w:rPr>
              <w:t>Three Months Ended March 31, 2026</w:t>
            </w:r>
          </w:p>
        </w:tc>
        <w:tc>
          <w:tcPr>
            <w:tcW w:w="260" w:type="dxa"/>
            <w:vAlign w:val="bottom"/>
          </w:tcPr>
          <w:p>
            <w:pPr>
              <w:spacing w:after="0"/>
              <w:rPr>
                <w:sz w:val="11"/>
                <w:szCs w:val="11"/>
                <w:color w:val="auto"/>
              </w:rPr>
            </w:pPr>
          </w:p>
        </w:tc>
        <w:tc>
          <w:tcPr>
            <w:tcW w:w="3380" w:type="dxa"/>
            <w:vAlign w:val="bottom"/>
            <w:gridSpan w:val="5"/>
          </w:tcPr>
          <w:p>
            <w:pPr>
              <w:ind w:left="800"/>
              <w:spacing w:after="0"/>
              <w:rPr>
                <w:sz w:val="20"/>
                <w:szCs w:val="20"/>
                <w:color w:val="auto"/>
              </w:rPr>
            </w:pPr>
            <w:r>
              <w:rPr>
                <w:rFonts w:ascii="Times New Roman" w:cs="Times New Roman" w:eastAsia="Times New Roman" w:hAnsi="Times New Roman"/>
                <w:sz w:val="10"/>
                <w:szCs w:val="10"/>
                <w:b w:val="1"/>
                <w:bCs w:val="1"/>
                <w:color w:val="auto"/>
              </w:rPr>
              <w:t>Three Months Ended March 31, 2025</w:t>
            </w:r>
          </w:p>
        </w:tc>
      </w:tr>
      <w:tr>
        <w:trPr>
          <w:trHeight w:val="114"/>
        </w:trPr>
        <w:tc>
          <w:tcPr>
            <w:tcW w:w="3960" w:type="dxa"/>
            <w:vAlign w:val="bottom"/>
            <w:tcBorders>
              <w:bottom w:val="single" w:sz="8" w:color="CCEEFF"/>
            </w:tcBorders>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 xml:space="preserve">GAAP </w:t>
            </w:r>
            <w:r>
              <w:rPr>
                <w:rFonts w:ascii="Times New Roman" w:cs="Times New Roman" w:eastAsia="Times New Roman" w:hAnsi="Times New Roman"/>
                <w:sz w:val="10"/>
                <w:szCs w:val="10"/>
                <w:b w:val="1"/>
                <w:bCs w:val="1"/>
                <w:color w:val="auto"/>
                <w:vertAlign w:val="superscript"/>
              </w:rPr>
              <w:t>(a)</w:t>
            </w:r>
          </w:p>
        </w:tc>
        <w:tc>
          <w:tcPr>
            <w:tcW w:w="40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Non-GAAP Adjustments</w:t>
            </w:r>
          </w:p>
        </w:tc>
        <w:tc>
          <w:tcPr>
            <w:tcW w:w="1200" w:type="dxa"/>
            <w:vAlign w:val="bottom"/>
            <w:tcBorders>
              <w:top w:val="single" w:sz="8" w:color="auto"/>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8"/>
                <w:szCs w:val="8"/>
                <w:b w:val="1"/>
                <w:bCs w:val="1"/>
                <w:color w:val="auto"/>
              </w:rPr>
              <w:t xml:space="preserve">GAAP </w:t>
            </w:r>
            <w:r>
              <w:rPr>
                <w:rFonts w:ascii="Times New Roman" w:cs="Times New Roman" w:eastAsia="Times New Roman" w:hAnsi="Times New Roman"/>
                <w:sz w:val="10"/>
                <w:szCs w:val="10"/>
                <w:b w:val="1"/>
                <w:bCs w:val="1"/>
                <w:color w:val="auto"/>
                <w:vertAlign w:val="superscript"/>
              </w:rPr>
              <w:t>(a)</w:t>
            </w:r>
          </w:p>
        </w:tc>
        <w:tc>
          <w:tcPr>
            <w:tcW w:w="1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8"/>
                <w:szCs w:val="8"/>
                <w:b w:val="1"/>
                <w:bCs w:val="1"/>
                <w:color w:val="auto"/>
              </w:rPr>
              <w:t>Non-GAAP Adjustments</w:t>
            </w:r>
          </w:p>
        </w:tc>
        <w:tc>
          <w:tcPr>
            <w:tcW w:w="1220" w:type="dxa"/>
            <w:vAlign w:val="bottom"/>
            <w:tcBorders>
              <w:top w:val="single" w:sz="8" w:color="auto"/>
              <w:bottom w:val="single" w:sz="8" w:color="CCEEFF"/>
            </w:tcBorders>
          </w:tcPr>
          <w:p>
            <w:pPr>
              <w:spacing w:after="0"/>
              <w:rPr>
                <w:sz w:val="9"/>
                <w:szCs w:val="9"/>
                <w:color w:val="auto"/>
              </w:rPr>
            </w:pPr>
          </w:p>
        </w:tc>
      </w:tr>
      <w:tr>
        <w:trPr>
          <w:trHeight w:val="124"/>
        </w:trPr>
        <w:tc>
          <w:tcPr>
            <w:tcW w:w="39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Operating revenues</w:t>
            </w:r>
          </w:p>
        </w:tc>
        <w:tc>
          <w:tcPr>
            <w:tcW w:w="7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4"/>
              </w:rPr>
              <w:t>11,122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1300" w:type="dxa"/>
            <w:vAlign w:val="bottom"/>
            <w:gridSpan w:val="2"/>
            <w:shd w:val="clear" w:color="auto" w:fill="CCEEFF"/>
          </w:tcPr>
          <w:p>
            <w:pPr>
              <w:ind w:left="120"/>
              <w:spacing w:after="0" w:line="107" w:lineRule="exact"/>
              <w:rPr>
                <w:sz w:val="20"/>
                <w:szCs w:val="20"/>
                <w:color w:val="auto"/>
              </w:rPr>
            </w:pPr>
            <w:r>
              <w:rPr>
                <w:rFonts w:ascii="Times New Roman" w:cs="Times New Roman" w:eastAsia="Times New Roman" w:hAnsi="Times New Roman"/>
                <w:sz w:val="10"/>
                <w:szCs w:val="10"/>
                <w:color w:val="auto"/>
              </w:rPr>
              <w:t>(b),(c),(d)</w:t>
            </w: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6,788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1220" w:type="dxa"/>
            <w:vAlign w:val="bottom"/>
            <w:shd w:val="clear" w:color="auto" w:fill="CCEEFF"/>
          </w:tcPr>
          <w:p>
            <w:pPr>
              <w:ind w:left="120"/>
              <w:spacing w:after="0" w:line="107" w:lineRule="exact"/>
              <w:rPr>
                <w:sz w:val="20"/>
                <w:szCs w:val="20"/>
                <w:color w:val="auto"/>
              </w:rPr>
            </w:pPr>
            <w:r>
              <w:rPr>
                <w:rFonts w:ascii="Times New Roman" w:cs="Times New Roman" w:eastAsia="Times New Roman" w:hAnsi="Times New Roman"/>
                <w:sz w:val="10"/>
                <w:szCs w:val="10"/>
                <w:color w:val="auto"/>
              </w:rPr>
              <w:t>(b),(c)</w:t>
            </w:r>
          </w:p>
        </w:tc>
      </w:tr>
      <w:tr>
        <w:trPr>
          <w:trHeight w:val="130"/>
        </w:trPr>
        <w:tc>
          <w:tcPr>
            <w:tcW w:w="3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Purchased power and fuel</w:t>
            </w: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6,352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(b),(d)</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4,384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r>
      <w:tr>
        <w:trPr>
          <w:trHeight w:val="129"/>
        </w:trPr>
        <w:tc>
          <w:tcPr>
            <w:tcW w:w="39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Operating and maintenance</w:t>
            </w:r>
          </w:p>
        </w:tc>
        <w:tc>
          <w:tcPr>
            <w:tcW w:w="780" w:type="dxa"/>
            <w:vAlign w:val="bottom"/>
          </w:tcPr>
          <w:p>
            <w:pPr>
              <w:spacing w:after="0"/>
              <w:rPr>
                <w:sz w:val="11"/>
                <w:szCs w:val="11"/>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(c),(e)</w:t>
            </w:r>
          </w:p>
        </w:tc>
        <w:tc>
          <w:tcPr>
            <w:tcW w:w="26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1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(c),(e)</w:t>
            </w:r>
          </w:p>
        </w:tc>
      </w:tr>
      <w:tr>
        <w:trPr>
          <w:trHeight w:val="141"/>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(c),(e)</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(c),(g)</w:t>
            </w:r>
          </w:p>
        </w:tc>
      </w:tr>
      <w:tr>
        <w:trPr>
          <w:trHeight w:val="129"/>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Taxes other than income taxes</w:t>
            </w:r>
          </w:p>
        </w:tc>
        <w:tc>
          <w:tcPr>
            <w:tcW w:w="7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229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0"/>
                <w:szCs w:val="10"/>
                <w:color w:val="auto"/>
              </w:rPr>
              <w:t>(e)</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Borders>
              <w:bottom w:val="single" w:sz="8" w:color="CCEEFF"/>
            </w:tcBorders>
          </w:tcPr>
          <w:p>
            <w:pPr>
              <w:spacing w:after="0"/>
              <w:rPr>
                <w:sz w:val="11"/>
                <w:szCs w:val="11"/>
                <w:color w:val="auto"/>
              </w:rPr>
            </w:pPr>
          </w:p>
        </w:tc>
      </w:tr>
      <w:tr>
        <w:trPr>
          <w:trHeight w:val="130"/>
        </w:trPr>
        <w:tc>
          <w:tcPr>
            <w:tcW w:w="3960" w:type="dxa"/>
            <w:vAlign w:val="bottom"/>
            <w:shd w:val="clear" w:color="auto" w:fill="CCEEFF"/>
          </w:tcPr>
          <w:p>
            <w:pPr>
              <w:ind w:left="36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7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8,804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6,337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18"/>
        </w:trPr>
        <w:tc>
          <w:tcPr>
            <w:tcW w:w="396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Gain (loss) on sales of assets</w:t>
            </w: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tcBorders>
              <w:bottom w:val="single" w:sz="8" w:color="CCEEFF"/>
            </w:tcBorders>
          </w:tcPr>
          <w:p>
            <w:pPr>
              <w:spacing w:after="0"/>
              <w:rPr>
                <w:sz w:val="10"/>
                <w:szCs w:val="10"/>
                <w:color w:val="auto"/>
              </w:rPr>
            </w:pPr>
          </w:p>
        </w:tc>
      </w:tr>
      <w:tr>
        <w:trPr>
          <w:trHeight w:val="130"/>
        </w:trPr>
        <w:tc>
          <w:tcPr>
            <w:tcW w:w="39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income (loss)</w:t>
            </w:r>
          </w:p>
        </w:tc>
        <w:tc>
          <w:tcPr>
            <w:tcW w:w="7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10"/>
        </w:trPr>
        <w:tc>
          <w:tcPr>
            <w:tcW w:w="396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Other income and (deductions)</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4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Interest expense, net</w:t>
            </w: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(b),(e)</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r>
      <w:tr>
        <w:trPr>
          <w:trHeight w:val="129"/>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Other, net</w:t>
            </w:r>
          </w:p>
        </w:tc>
        <w:tc>
          <w:tcPr>
            <w:tcW w:w="7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0"/>
                <w:szCs w:val="10"/>
                <w:color w:val="auto"/>
              </w:rPr>
              <w:t>(b),(c),(f)</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1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(b),(c),(f)</w:t>
            </w:r>
          </w:p>
        </w:tc>
      </w:tr>
      <w:tr>
        <w:trPr>
          <w:trHeight w:val="130"/>
        </w:trPr>
        <w:tc>
          <w:tcPr>
            <w:tcW w:w="3960" w:type="dxa"/>
            <w:vAlign w:val="bottom"/>
            <w:shd w:val="clear" w:color="auto" w:fill="CCEEFF"/>
          </w:tcPr>
          <w:p>
            <w:pPr>
              <w:ind w:left="360"/>
              <w:spacing w:after="0" w:line="113" w:lineRule="exact"/>
              <w:rPr>
                <w:sz w:val="20"/>
                <w:szCs w:val="20"/>
                <w:color w:val="auto"/>
              </w:rPr>
            </w:pPr>
            <w:r>
              <w:rPr>
                <w:rFonts w:ascii="Times New Roman" w:cs="Times New Roman" w:eastAsia="Times New Roman" w:hAnsi="Times New Roman"/>
                <w:sz w:val="10"/>
                <w:szCs w:val="10"/>
                <w:color w:val="auto"/>
              </w:rPr>
              <w:t>Total other income and (deductions)</w:t>
            </w:r>
          </w:p>
        </w:tc>
        <w:tc>
          <w:tcPr>
            <w:tcW w:w="7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18"/>
        </w:trPr>
        <w:tc>
          <w:tcPr>
            <w:tcW w:w="396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Income (loss) before income taxes</w:t>
            </w:r>
          </w:p>
        </w:tc>
        <w:tc>
          <w:tcPr>
            <w:tcW w:w="780" w:type="dxa"/>
            <w:vAlign w:val="bottom"/>
          </w:tcPr>
          <w:p>
            <w:pPr>
              <w:spacing w:after="0"/>
              <w:rPr>
                <w:sz w:val="10"/>
                <w:szCs w:val="10"/>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Income tax (benefit) expense</w:t>
            </w:r>
          </w:p>
        </w:tc>
        <w:tc>
          <w:tcPr>
            <w:tcW w:w="7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(b),(c)(d),(e),(f),(h)</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(b),(c),(e),(f),(g)</w:t>
            </w:r>
          </w:p>
        </w:tc>
      </w:tr>
      <w:tr>
        <w:trPr>
          <w:trHeight w:val="118"/>
        </w:trPr>
        <w:tc>
          <w:tcPr>
            <w:tcW w:w="396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Net income (loss)</w:t>
            </w:r>
          </w:p>
        </w:tc>
        <w:tc>
          <w:tcPr>
            <w:tcW w:w="780" w:type="dxa"/>
            <w:vAlign w:val="bottom"/>
          </w:tcPr>
          <w:p>
            <w:pPr>
              <w:spacing w:after="0"/>
              <w:rPr>
                <w:sz w:val="10"/>
                <w:szCs w:val="10"/>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income (loss) attributable to noncontrolling interests</w:t>
            </w:r>
          </w:p>
        </w:tc>
        <w:tc>
          <w:tcPr>
            <w:tcW w:w="7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w:t>
            </w: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w:t>
            </w:r>
          </w:p>
        </w:tc>
      </w:tr>
      <w:tr>
        <w:trPr>
          <w:trHeight w:val="145"/>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Net income (loss) attributable to common shareholders</w:t>
            </w:r>
          </w:p>
        </w:tc>
        <w:tc>
          <w:tcPr>
            <w:tcW w:w="7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1,590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r>
      <w:tr>
        <w:trPr>
          <w:trHeight w:val="13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Effective tax rate</w:t>
            </w: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24.9 %</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14.6 %</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0"/>
        </w:trPr>
        <w:tc>
          <w:tcPr>
            <w:tcW w:w="3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Earnings per average common share</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Basic</w:t>
            </w:r>
          </w:p>
        </w:tc>
        <w:tc>
          <w:tcPr>
            <w:tcW w:w="7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51"/>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Diluted</w:t>
            </w:r>
          </w:p>
        </w:tc>
        <w:tc>
          <w:tcPr>
            <w:tcW w:w="7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4.49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0.38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r>
      <w:tr>
        <w:trPr>
          <w:trHeight w:val="117"/>
        </w:trPr>
        <w:tc>
          <w:tcPr>
            <w:tcW w:w="39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Average common shares outstanding</w:t>
            </w: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29"/>
        </w:trPr>
        <w:tc>
          <w:tcPr>
            <w:tcW w:w="39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Basic</w:t>
            </w:r>
          </w:p>
        </w:tc>
        <w:tc>
          <w:tcPr>
            <w:tcW w:w="780" w:type="dxa"/>
            <w:vAlign w:val="bottom"/>
          </w:tcPr>
          <w:p>
            <w:pPr>
              <w:spacing w:after="0"/>
              <w:rPr>
                <w:sz w:val="11"/>
                <w:szCs w:val="11"/>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1"/>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Diluted</w:t>
            </w: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bl>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Results reported in accordance with GAAP.</w:t>
      </w:r>
    </w:p>
    <w:p>
      <w:pPr>
        <w:spacing w:after="0" w:line="2"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 for unrealized gains and losses on economic hedges, interest rate swaps, and fair value adjustments related to gas imbalances and equity investments.</w:t>
      </w:r>
    </w:p>
    <w:p>
      <w:pPr>
        <w:spacing w:after="0" w:line="2" w:lineRule="exact"/>
        <w:rPr>
          <w:rFonts w:ascii="Times New Roman" w:cs="Times New Roman" w:eastAsia="Times New Roman" w:hAnsi="Times New Roman"/>
          <w:sz w:val="10"/>
          <w:szCs w:val="10"/>
          <w:color w:val="auto"/>
        </w:rPr>
      </w:pPr>
    </w:p>
    <w:p>
      <w:pPr>
        <w:ind w:left="208" w:hanging="208"/>
        <w:spacing w:after="0" w:line="238" w:lineRule="auto"/>
        <w:tabs>
          <w:tab w:leader="none" w:pos="206"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 for all gains and losses associated with Nuclear Decommissioning Trusts (NDT), Asset Retirement Obligation (ARO) accretion, Asset Retirement Cost (ARC) Depreciation, ARO remeasurement, and any earnings neutral impacts of contractual offset for Regulatory Agreement Units.</w:t>
      </w:r>
    </w:p>
    <w:p>
      <w:pPr>
        <w:ind w:left="208" w:hanging="208"/>
        <w:spacing w:after="0" w:line="236" w:lineRule="auto"/>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2026, reflects the non-cash impacts of the amortization of certain commodity contracts at fair value associated with the Calpine acquisition.</w:t>
      </w:r>
    </w:p>
    <w:p>
      <w:pPr>
        <w:ind w:left="208" w:hanging="208"/>
        <w:spacing w:after="0"/>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 for costs associated with the completion of the Calpine merger and subsequent integration of its operations.</w:t>
      </w:r>
    </w:p>
    <w:p>
      <w:pPr>
        <w:spacing w:after="0" w:line="2"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 for Pension and Other Postretirement Employee Benefits (OPEB) Non-Service credits.</w:t>
      </w:r>
    </w:p>
    <w:p>
      <w:pPr>
        <w:spacing w:after="0" w:line="2" w:lineRule="exact"/>
        <w:rPr>
          <w:rFonts w:ascii="Times New Roman" w:cs="Times New Roman" w:eastAsia="Times New Roman" w:hAnsi="Times New Roman"/>
          <w:sz w:val="10"/>
          <w:szCs w:val="10"/>
          <w:color w:val="auto"/>
        </w:rPr>
      </w:pPr>
    </w:p>
    <w:p>
      <w:pPr>
        <w:ind w:left="208" w:hanging="208"/>
        <w:spacing w:after="0" w:line="232" w:lineRule="auto"/>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Adjustments related to plant retirements and divestitures.</w:t>
      </w:r>
    </w:p>
    <w:p>
      <w:pPr>
        <w:ind w:left="208" w:hanging="208"/>
        <w:spacing w:after="0" w:line="236" w:lineRule="auto"/>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 to deferred income taxes due to changes in forecasted apportionment.</w:t>
      </w:r>
    </w:p>
    <w:p>
      <w:pPr>
        <w:ind w:left="208" w:hanging="208"/>
        <w:spacing w:after="0"/>
        <w:tabs>
          <w:tab w:leader="none" w:pos="20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 for elimination of the noncontrolling interest related to certain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129" w:right="29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Statistics</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940" w:type="dxa"/>
            <w:vAlign w:val="bottom"/>
          </w:tcPr>
          <w:p>
            <w:pPr>
              <w:spacing w:after="0"/>
              <w:rPr>
                <w:sz w:val="11"/>
                <w:szCs w:val="11"/>
                <w:color w:val="auto"/>
              </w:rPr>
            </w:pPr>
          </w:p>
        </w:tc>
        <w:tc>
          <w:tcPr>
            <w:tcW w:w="23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0"/>
                <w:szCs w:val="10"/>
                <w:b w:val="1"/>
                <w:bCs w:val="1"/>
                <w:color w:val="auto"/>
                <w:w w:val="97"/>
              </w:rPr>
              <w:t>Three Months Ended March 31,</w:t>
            </w:r>
          </w:p>
        </w:tc>
        <w:tc>
          <w:tcPr>
            <w:tcW w:w="980" w:type="dxa"/>
            <w:vAlign w:val="bottom"/>
            <w:tcBorders>
              <w:bottom w:val="single" w:sz="8" w:color="auto"/>
            </w:tcBorders>
          </w:tcPr>
          <w:p>
            <w:pPr>
              <w:spacing w:after="0"/>
              <w:rPr>
                <w:sz w:val="11"/>
                <w:szCs w:val="11"/>
                <w:color w:val="auto"/>
              </w:rPr>
            </w:pPr>
          </w:p>
        </w:tc>
      </w:tr>
      <w:tr>
        <w:trPr>
          <w:trHeight w:val="128"/>
        </w:trPr>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(GWhs)</w:t>
            </w:r>
          </w:p>
        </w:tc>
        <w:tc>
          <w:tcPr>
            <w:tcW w:w="16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0"/>
        </w:trPr>
        <w:tc>
          <w:tcPr>
            <w:tcW w:w="79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Nuclear Generation</w:t>
            </w:r>
            <w:r>
              <w:rPr>
                <w:rFonts w:ascii="Times New Roman" w:cs="Times New Roman" w:eastAsia="Times New Roman" w:hAnsi="Times New Roman"/>
                <w:sz w:val="12"/>
                <w:szCs w:val="12"/>
                <w:b w:val="1"/>
                <w:bCs w:val="1"/>
                <w:color w:val="auto"/>
                <w:vertAlign w:val="superscript"/>
              </w:rPr>
              <w:t>(a)</w:t>
            </w: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Mid-Atlantic</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13,326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13,177</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Midwest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22,974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23,596</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New York</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6,014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6,280</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ERCOT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2,352</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2,529</w:t>
            </w:r>
          </w:p>
        </w:tc>
      </w:tr>
      <w:tr>
        <w:trPr>
          <w:trHeight w:val="118"/>
        </w:trPr>
        <w:tc>
          <w:tcPr>
            <w:tcW w:w="794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Total Nuclear Generation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44,666</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45,582</w:t>
            </w:r>
          </w:p>
        </w:tc>
      </w:tr>
      <w:tr>
        <w:trPr>
          <w:trHeight w:val="150"/>
        </w:trPr>
        <w:tc>
          <w:tcPr>
            <w:tcW w:w="7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35"/>
        </w:trPr>
        <w:tc>
          <w:tcPr>
            <w:tcW w:w="7940" w:type="dxa"/>
            <w:vAlign w:val="bottom"/>
          </w:tcPr>
          <w:p>
            <w:pPr>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Oil, and Renewables</w:t>
            </w:r>
            <w:r>
              <w:rPr>
                <w:rFonts w:ascii="Times New Roman" w:cs="Times New Roman" w:eastAsia="Times New Roman" w:hAnsi="Times New Roman"/>
                <w:sz w:val="12"/>
                <w:szCs w:val="12"/>
                <w:b w:val="1"/>
                <w:bCs w:val="1"/>
                <w:color w:val="auto"/>
                <w:vertAlign w:val="superscript"/>
              </w:rPr>
              <w:t>(a)</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Mid-Atlantic</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632</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Midwest</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ERCOT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3,084</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Power Regions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1,804</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Calpine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26,497</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7940" w:type="dxa"/>
            <w:vAlign w:val="bottom"/>
          </w:tcPr>
          <w:p>
            <w:pPr>
              <w:ind w:left="40"/>
              <w:spacing w:after="0" w:line="107" w:lineRule="exact"/>
              <w:rPr>
                <w:sz w:val="20"/>
                <w:szCs w:val="20"/>
                <w:color w:val="auto"/>
              </w:rPr>
            </w:pPr>
            <w:r>
              <w:rPr>
                <w:rFonts w:ascii="Times New Roman" w:cs="Times New Roman" w:eastAsia="Times New Roman" w:hAnsi="Times New Roman"/>
                <w:sz w:val="10"/>
                <w:szCs w:val="10"/>
                <w:b w:val="1"/>
                <w:bCs w:val="1"/>
                <w:color w:val="auto"/>
              </w:rPr>
              <w:t>Total Natural Gas, Oil, and Renewables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32,061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5,905</w:t>
            </w:r>
          </w:p>
        </w:tc>
      </w:tr>
      <w:tr>
        <w:trPr>
          <w:trHeight w:val="150"/>
        </w:trPr>
        <w:tc>
          <w:tcPr>
            <w:tcW w:w="7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30"/>
        </w:trPr>
        <w:tc>
          <w:tcPr>
            <w:tcW w:w="79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Purchased Power</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Mid-Atlantic</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4,794</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Midwest</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ERCOT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659</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Power Regions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9,317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10,994</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Calpine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2,089</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794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Total Purchased Power</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16,603</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16,935</w:t>
            </w:r>
          </w:p>
        </w:tc>
      </w:tr>
      <w:tr>
        <w:trPr>
          <w:trHeight w:val="150"/>
        </w:trPr>
        <w:tc>
          <w:tcPr>
            <w:tcW w:w="7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30"/>
        </w:trPr>
        <w:tc>
          <w:tcPr>
            <w:tcW w:w="79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Supply/Sales by Region</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Mid-Atlantic</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18,160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18,603</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Midwest</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23,735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24,469</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New York</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6,014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6,280</w:t>
            </w:r>
          </w:p>
        </w:tc>
      </w:tr>
      <w:tr>
        <w:trPr>
          <w:trHeight w:val="129"/>
        </w:trPr>
        <w:tc>
          <w:tcPr>
            <w:tcW w:w="79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ERCOT</w:t>
            </w: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5,776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6,272</w:t>
            </w:r>
          </w:p>
        </w:tc>
      </w:tr>
      <w:tr>
        <w:trPr>
          <w:trHeight w:val="141"/>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 Power Regions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11,059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12,798</w:t>
            </w:r>
          </w:p>
        </w:tc>
      </w:tr>
      <w:tr>
        <w:trPr>
          <w:trHeight w:val="129"/>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Calpine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28,586</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6"/>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Supply/Sales by Region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93,330</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68,422</w:t>
            </w:r>
          </w:p>
        </w:tc>
      </w:tr>
    </w:tbl>
    <w:p>
      <w:pPr>
        <w:spacing w:after="0" w:line="155" w:lineRule="exact"/>
        <w:rPr>
          <w:sz w:val="20"/>
          <w:szCs w:val="20"/>
          <w:color w:val="auto"/>
        </w:rPr>
      </w:pPr>
    </w:p>
    <w:p>
      <w:pPr>
        <w:sectPr>
          <w:pgSz w:w="11900" w:h="16838" w:orient="portrait"/>
          <w:cols w:equalWidth="0" w:num="1">
            <w:col w:w="11308"/>
          </w:cols>
          <w:pgMar w:left="292" w:top="129" w:right="299" w:bottom="1440" w:gutter="0" w:footer="0" w:header="0"/>
        </w:sectPr>
      </w:pPr>
    </w:p>
    <w:p>
      <w:pPr>
        <w:spacing w:after="0" w:line="2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Outage Days</w:t>
      </w:r>
      <w:r>
        <w:rPr>
          <w:rFonts w:ascii="Times New Roman" w:cs="Times New Roman" w:eastAsia="Times New Roman" w:hAnsi="Times New Roman"/>
          <w:sz w:val="12"/>
          <w:szCs w:val="12"/>
          <w:b w:val="1"/>
          <w:bCs w:val="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ind w:left="228"/>
        <w:spacing w:after="0"/>
        <w:rPr>
          <w:sz w:val="20"/>
          <w:szCs w:val="20"/>
          <w:color w:val="auto"/>
        </w:rPr>
      </w:pPr>
      <w:r>
        <w:rPr>
          <w:rFonts w:ascii="Times New Roman" w:cs="Times New Roman" w:eastAsia="Times New Roman" w:hAnsi="Times New Roman"/>
          <w:sz w:val="10"/>
          <w:szCs w:val="10"/>
          <w:color w:val="auto"/>
        </w:rPr>
        <w:t>Refueling</w:t>
      </w:r>
    </w:p>
    <w:p>
      <w:pPr>
        <w:spacing w:after="0" w:line="12"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0"/>
          <w:szCs w:val="10"/>
          <w:color w:val="auto"/>
        </w:rPr>
        <w:t>Non-refueling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17804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Total Outage Days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Includes the proportionate share of output where we have an undivided ownership interest in jointly-owned generating plants.</w:t>
      </w:r>
    </w:p>
    <w:p>
      <w:pPr>
        <w:spacing w:after="0" w:line="25" w:lineRule="exact"/>
        <w:rPr>
          <w:rFonts w:ascii="Times New Roman" w:cs="Times New Roman" w:eastAsia="Times New Roman" w:hAnsi="Times New Roman"/>
          <w:sz w:val="8"/>
          <w:szCs w:val="8"/>
          <w:color w:val="auto"/>
        </w:rPr>
      </w:pPr>
    </w:p>
    <w:p>
      <w:pPr>
        <w:ind w:left="208" w:hanging="208"/>
        <w:spacing w:after="0"/>
        <w:tabs>
          <w:tab w:leader="none" w:pos="208"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Outage days exclude Salem and STP.</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2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238"/>
        </w:trPr>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r>
      <w:tr>
        <w:trPr>
          <w:trHeight w:val="144"/>
        </w:trPr>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tcPr>
          <w:p>
            <w:pPr>
              <w:spacing w:after="0"/>
              <w:rPr>
                <w:sz w:val="11"/>
                <w:szCs w:val="1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94" w:lineRule="exact"/>
        <w:rPr>
          <w:sz w:val="20"/>
          <w:szCs w:val="20"/>
          <w:color w:val="auto"/>
        </w:rPr>
      </w:pPr>
    </w:p>
    <w:p>
      <w:pPr>
        <w:sectPr>
          <w:pgSz w:w="11900" w:h="16838" w:orient="portrait"/>
          <w:cols w:equalWidth="0" w:num="2">
            <w:col w:w="7228" w:space="720"/>
            <w:col w:w="3360"/>
          </w:cols>
          <w:pgMar w:left="292" w:top="129"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129" w:right="299" w:bottom="1440" w:gutter="0" w:footer="0" w:header="0"/>
          <w:type w:val="continuous"/>
        </w:sectPr>
      </w:pPr>
    </w:p>
    <w:bookmarkStart w:id="16" w:name="page17"/>
    <w:bookmarkEnd w:id="1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7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Electricity Reference Prices</w:t>
            </w:r>
            <w:r>
              <w:rPr>
                <w:rFonts w:ascii="Times New Roman" w:cs="Times New Roman" w:eastAsia="Times New Roman" w:hAnsi="Times New Roman"/>
                <w:sz w:val="12"/>
                <w:szCs w:val="12"/>
                <w:b w:val="1"/>
                <w:bCs w:val="1"/>
                <w:color w:val="auto"/>
                <w:vertAlign w:val="superscript"/>
              </w:rPr>
              <w:t>(a)</w:t>
            </w:r>
          </w:p>
        </w:tc>
        <w:tc>
          <w:tcPr>
            <w:tcW w:w="3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960" w:type="dxa"/>
            <w:vAlign w:val="bottom"/>
            <w:tcBorders>
              <w:bottom w:val="single" w:sz="8" w:color="auto"/>
            </w:tcBorders>
          </w:tcPr>
          <w:p>
            <w:pPr>
              <w:spacing w:after="0"/>
              <w:rPr>
                <w:sz w:val="12"/>
                <w:szCs w:val="12"/>
                <w:color w:val="auto"/>
              </w:rPr>
            </w:pPr>
          </w:p>
        </w:tc>
      </w:tr>
      <w:tr>
        <w:trPr>
          <w:trHeight w:val="119"/>
        </w:trPr>
        <w:tc>
          <w:tcPr>
            <w:tcW w:w="796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ISO/RTO</w:t>
            </w: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9"/>
        </w:trPr>
        <w:tc>
          <w:tcPr>
            <w:tcW w:w="796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PJM - PJM West</w:t>
            </w: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97.16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53.69</w:t>
            </w:r>
          </w:p>
        </w:tc>
      </w:tr>
      <w:tr>
        <w:trPr>
          <w:trHeight w:val="129"/>
        </w:trPr>
        <w:tc>
          <w:tcPr>
            <w:tcW w:w="7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PJM - ComEd</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50.71</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w:t>
            </w:r>
          </w:p>
        </w:tc>
      </w:tr>
      <w:tr>
        <w:trPr>
          <w:trHeight w:val="1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NYISO - Central</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112.23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75.31</w:t>
            </w:r>
          </w:p>
        </w:tc>
      </w:tr>
      <w:tr>
        <w:trPr>
          <w:trHeight w:val="129"/>
        </w:trPr>
        <w:tc>
          <w:tcPr>
            <w:tcW w:w="7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ERCOT - North</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40.65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31.39</w:t>
            </w:r>
          </w:p>
        </w:tc>
      </w:tr>
      <w:tr>
        <w:trPr>
          <w:trHeight w:val="1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ERCOT - Houston</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38.55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31.73</w:t>
            </w:r>
          </w:p>
        </w:tc>
      </w:tr>
      <w:tr>
        <w:trPr>
          <w:trHeight w:val="129"/>
        </w:trPr>
        <w:tc>
          <w:tcPr>
            <w:tcW w:w="7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ISO-NE - Southeast Massachusetts</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118.82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104.75</w:t>
            </w:r>
          </w:p>
        </w:tc>
      </w:tr>
      <w:tr>
        <w:trPr>
          <w:trHeight w:val="1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CAISO - NP15</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40.96</w:t>
            </w:r>
          </w:p>
        </w:tc>
      </w:tr>
    </w:tbl>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7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Capacity Reference Prices</w:t>
            </w:r>
          </w:p>
        </w:tc>
        <w:tc>
          <w:tcPr>
            <w:tcW w:w="3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960" w:type="dxa"/>
            <w:vAlign w:val="bottom"/>
            <w:tcBorders>
              <w:bottom w:val="single" w:sz="8" w:color="auto"/>
            </w:tcBorders>
          </w:tcPr>
          <w:p>
            <w:pPr>
              <w:spacing w:after="0"/>
              <w:rPr>
                <w:sz w:val="11"/>
                <w:szCs w:val="11"/>
                <w:color w:val="auto"/>
              </w:rPr>
            </w:pPr>
          </w:p>
        </w:tc>
      </w:tr>
      <w:tr>
        <w:trPr>
          <w:trHeight w:val="130"/>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ISO/RTO</w:t>
            </w: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9"/>
        </w:trPr>
        <w:tc>
          <w:tcPr>
            <w:tcW w:w="796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PJM - Eastern Mid-Atlantic Area Council</w:t>
            </w: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269.92</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53.60</w:t>
            </w:r>
          </w:p>
        </w:tc>
      </w:tr>
      <w:tr>
        <w:trPr>
          <w:trHeight w:val="129"/>
        </w:trPr>
        <w:tc>
          <w:tcPr>
            <w:tcW w:w="7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PJM - ComEd</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269.92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28.92</w:t>
            </w:r>
          </w:p>
        </w:tc>
      </w:tr>
      <w:tr>
        <w:trPr>
          <w:trHeight w:val="1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NYISO - Rest of State</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112.33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86.33</w:t>
            </w:r>
          </w:p>
        </w:tc>
      </w:tr>
      <w:tr>
        <w:trPr>
          <w:trHeight w:val="163"/>
        </w:trPr>
        <w:tc>
          <w:tcPr>
            <w:tcW w:w="7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ISO-NE - Rest of Pool</w:t>
            </w:r>
            <w:r>
              <w:rPr>
                <w:rFonts w:ascii="Times New Roman" w:cs="Times New Roman" w:eastAsia="Times New Roman" w:hAnsi="Times New Roman"/>
                <w:sz w:val="12"/>
                <w:szCs w:val="12"/>
                <w:color w:val="auto"/>
                <w:vertAlign w:val="superscript"/>
              </w:rPr>
              <w:t>(b)</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84.37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82.57</w:t>
            </w:r>
          </w:p>
        </w:tc>
      </w:tr>
    </w:tbl>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7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ZEC Reference Prices</w:t>
            </w:r>
            <w:r>
              <w:rPr>
                <w:rFonts w:ascii="Times New Roman" w:cs="Times New Roman" w:eastAsia="Times New Roman" w:hAnsi="Times New Roman"/>
                <w:sz w:val="12"/>
                <w:szCs w:val="12"/>
                <w:b w:val="1"/>
                <w:bCs w:val="1"/>
                <w:color w:val="auto"/>
                <w:vertAlign w:val="superscript"/>
              </w:rPr>
              <w:t>(a)</w:t>
            </w:r>
          </w:p>
        </w:tc>
        <w:tc>
          <w:tcPr>
            <w:tcW w:w="3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960" w:type="dxa"/>
            <w:vAlign w:val="bottom"/>
            <w:tcBorders>
              <w:bottom w:val="single" w:sz="8" w:color="auto"/>
            </w:tcBorders>
          </w:tcPr>
          <w:p>
            <w:pPr>
              <w:spacing w:after="0"/>
              <w:rPr>
                <w:sz w:val="12"/>
                <w:szCs w:val="12"/>
                <w:color w:val="auto"/>
              </w:rPr>
            </w:pPr>
          </w:p>
        </w:tc>
      </w:tr>
      <w:tr>
        <w:trPr>
          <w:trHeight w:val="119"/>
        </w:trPr>
        <w:tc>
          <w:tcPr>
            <w:tcW w:w="796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State (Segment)</w:t>
            </w: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9"/>
        </w:trPr>
        <w:tc>
          <w:tcPr>
            <w:tcW w:w="79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0"/>
                <w:szCs w:val="10"/>
                <w:color w:val="auto"/>
              </w:rPr>
              <w:t>New Jersey (Mid-Atlantic)</w:t>
            </w:r>
            <w:r>
              <w:rPr>
                <w:rFonts w:ascii="Times New Roman" w:cs="Times New Roman" w:eastAsia="Times New Roman" w:hAnsi="Times New Roman"/>
                <w:sz w:val="12"/>
                <w:szCs w:val="12"/>
                <w:color w:val="auto"/>
                <w:vertAlign w:val="superscript"/>
              </w:rPr>
              <w:t>(c)(d)</w:t>
            </w: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r>
      <w:tr>
        <w:trPr>
          <w:trHeight w:val="129"/>
        </w:trPr>
        <w:tc>
          <w:tcPr>
            <w:tcW w:w="7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Illinois (Midwest)</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9.38</w:t>
            </w:r>
          </w:p>
        </w:tc>
      </w:tr>
      <w:tr>
        <w:trPr>
          <w:trHeight w:val="1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New York (New York)</w:t>
            </w:r>
            <w:r>
              <w:rPr>
                <w:rFonts w:ascii="Times New Roman" w:cs="Times New Roman" w:eastAsia="Times New Roman" w:hAnsi="Times New Roman"/>
                <w:sz w:val="12"/>
                <w:szCs w:val="12"/>
                <w:color w:val="auto"/>
                <w:vertAlign w:val="superscript"/>
              </w:rPr>
              <w:t>(c)</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18.27</w:t>
            </w:r>
          </w:p>
        </w:tc>
      </w:tr>
    </w:tbl>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7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Natural Gas Prices</w:t>
            </w:r>
            <w:r>
              <w:rPr>
                <w:rFonts w:ascii="Times New Roman" w:cs="Times New Roman" w:eastAsia="Times New Roman" w:hAnsi="Times New Roman"/>
                <w:sz w:val="12"/>
                <w:szCs w:val="12"/>
                <w:b w:val="1"/>
                <w:bCs w:val="1"/>
                <w:color w:val="auto"/>
                <w:vertAlign w:val="superscript"/>
              </w:rPr>
              <w:t>(a)</w:t>
            </w:r>
          </w:p>
        </w:tc>
        <w:tc>
          <w:tcPr>
            <w:tcW w:w="3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960" w:type="dxa"/>
            <w:vAlign w:val="bottom"/>
            <w:tcBorders>
              <w:bottom w:val="single" w:sz="8" w:color="auto"/>
            </w:tcBorders>
          </w:tcPr>
          <w:p>
            <w:pPr>
              <w:spacing w:after="0"/>
              <w:rPr>
                <w:sz w:val="12"/>
                <w:szCs w:val="12"/>
                <w:color w:val="auto"/>
              </w:rPr>
            </w:pPr>
          </w:p>
        </w:tc>
      </w:tr>
      <w:tr>
        <w:trPr>
          <w:trHeight w:val="119"/>
        </w:trPr>
        <w:tc>
          <w:tcPr>
            <w:tcW w:w="796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Location</w:t>
            </w: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9"/>
        </w:trPr>
        <w:tc>
          <w:tcPr>
            <w:tcW w:w="796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Henry Hub</w:t>
            </w: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w:t>
            </w:r>
          </w:p>
        </w:tc>
      </w:tr>
      <w:tr>
        <w:trPr>
          <w:trHeight w:val="135"/>
        </w:trPr>
        <w:tc>
          <w:tcPr>
            <w:tcW w:w="7960" w:type="dxa"/>
            <w:vAlign w:val="bottom"/>
          </w:tcPr>
          <w:p>
            <w:pPr>
              <w:ind w:left="140"/>
              <w:spacing w:after="0" w:line="135" w:lineRule="exact"/>
              <w:rPr>
                <w:sz w:val="20"/>
                <w:szCs w:val="20"/>
                <w:color w:val="auto"/>
              </w:rPr>
            </w:pPr>
            <w:r>
              <w:rPr>
                <w:rFonts w:ascii="Times New Roman" w:cs="Times New Roman" w:eastAsia="Times New Roman" w:hAnsi="Times New Roman"/>
                <w:sz w:val="10"/>
                <w:szCs w:val="10"/>
                <w:color w:val="auto"/>
              </w:rPr>
              <w:t>Transco Zone 6</w:t>
            </w:r>
            <w:r>
              <w:rPr>
                <w:rFonts w:ascii="Times New Roman" w:cs="Times New Roman" w:eastAsia="Times New Roman" w:hAnsi="Times New Roman"/>
                <w:sz w:val="12"/>
                <w:szCs w:val="12"/>
                <w:color w:val="auto"/>
                <w:vertAlign w:val="superscript"/>
              </w:rPr>
              <w:t>(e)</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6.06</w:t>
            </w:r>
          </w:p>
        </w:tc>
      </w:tr>
      <w:tr>
        <w:trPr>
          <w:trHeight w:val="135"/>
        </w:trPr>
        <w:tc>
          <w:tcPr>
            <w:tcW w:w="79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0"/>
                <w:szCs w:val="10"/>
                <w:color w:val="auto"/>
              </w:rPr>
              <w:t>Houston Ship Channel</w:t>
            </w:r>
            <w:r>
              <w:rPr>
                <w:rFonts w:ascii="Times New Roman" w:cs="Times New Roman" w:eastAsia="Times New Roman" w:hAnsi="Times New Roman"/>
                <w:sz w:val="12"/>
                <w:szCs w:val="12"/>
                <w:color w:val="auto"/>
                <w:vertAlign w:val="superscript"/>
              </w:rPr>
              <w:t>(f)</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w:t>
            </w:r>
          </w:p>
        </w:tc>
      </w:tr>
      <w:tr>
        <w:trPr>
          <w:trHeight w:val="135"/>
        </w:trPr>
        <w:tc>
          <w:tcPr>
            <w:tcW w:w="7960" w:type="dxa"/>
            <w:vAlign w:val="bottom"/>
          </w:tcPr>
          <w:p>
            <w:pPr>
              <w:ind w:left="140"/>
              <w:spacing w:after="0" w:line="135" w:lineRule="exact"/>
              <w:rPr>
                <w:sz w:val="20"/>
                <w:szCs w:val="20"/>
                <w:color w:val="auto"/>
              </w:rPr>
            </w:pPr>
            <w:r>
              <w:rPr>
                <w:rFonts w:ascii="Times New Roman" w:cs="Times New Roman" w:eastAsia="Times New Roman" w:hAnsi="Times New Roman"/>
                <w:sz w:val="10"/>
                <w:szCs w:val="10"/>
                <w:color w:val="auto"/>
              </w:rPr>
              <w:t>PG&amp;E Citygate</w:t>
            </w:r>
            <w:r>
              <w:rPr>
                <w:rFonts w:ascii="Times New Roman" w:cs="Times New Roman" w:eastAsia="Times New Roman" w:hAnsi="Times New Roman"/>
                <w:sz w:val="12"/>
                <w:szCs w:val="12"/>
                <w:color w:val="auto"/>
                <w:vertAlign w:val="superscript"/>
              </w:rPr>
              <w:t>(g)</w:t>
            </w: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3.71</w:t>
            </w:r>
          </w:p>
        </w:tc>
      </w:tr>
      <w:tr>
        <w:trPr>
          <w:trHeight w:val="135"/>
        </w:trPr>
        <w:tc>
          <w:tcPr>
            <w:tcW w:w="79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0"/>
                <w:szCs w:val="10"/>
                <w:color w:val="auto"/>
              </w:rPr>
              <w:t>Algonquin Citygate</w:t>
            </w:r>
            <w:r>
              <w:rPr>
                <w:rFonts w:ascii="Times New Roman" w:cs="Times New Roman" w:eastAsia="Times New Roman" w:hAnsi="Times New Roman"/>
                <w:sz w:val="12"/>
                <w:szCs w:val="12"/>
                <w:color w:val="auto"/>
                <w:vertAlign w:val="superscript"/>
              </w:rPr>
              <w:t>(h)</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14.08</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11.83</w:t>
            </w:r>
          </w:p>
        </w:tc>
      </w:tr>
    </w:tbl>
    <w:p>
      <w:pPr>
        <w:spacing w:after="0" w:line="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w:t>
      </w:r>
    </w:p>
    <w:p>
      <w:pPr>
        <w:spacing w:after="0" w:line="2"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Reference prices may not necessarily reflect prices we ultimately realize.</w:t>
      </w:r>
    </w:p>
    <w:p>
      <w:pPr>
        <w:ind w:left="208" w:hanging="208"/>
        <w:spacing w:after="0"/>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did not have significant activity at this zone for the three months ended March 31, 2025.</w:t>
      </w:r>
    </w:p>
    <w:p>
      <w:pPr>
        <w:spacing w:after="0" w:line="2"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NY and NJ state-sponsored programs providing compensation for the emissions-free attributes of generation from certain of our nuclear units include contractual provisions that require us to refund that compensation up to the amount of the nuclear PTC received.</w:t>
      </w:r>
    </w:p>
    <w:p>
      <w:pPr>
        <w:spacing w:after="0" w:line="2"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New Jersey ZEC program concluded in May 2025.</w:t>
      </w:r>
    </w:p>
    <w:p>
      <w:pPr>
        <w:spacing w:after="0" w:line="2" w:lineRule="exact"/>
        <w:rPr>
          <w:rFonts w:ascii="Times New Roman" w:cs="Times New Roman" w:eastAsia="Times New Roman" w:hAnsi="Times New Roman"/>
          <w:sz w:val="10"/>
          <w:szCs w:val="10"/>
          <w:color w:val="auto"/>
        </w:rPr>
      </w:pPr>
    </w:p>
    <w:p>
      <w:pPr>
        <w:ind w:left="208" w:hanging="208"/>
        <w:spacing w:after="0" w:line="232" w:lineRule="auto"/>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Transcontinental Gas pipeline located in Mid-Atlantic region.</w:t>
      </w:r>
    </w:p>
    <w:p>
      <w:pPr>
        <w:ind w:left="208" w:hanging="208"/>
        <w:spacing w:after="0" w:line="236" w:lineRule="auto"/>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Houston-area pipeline and industrial network located in ERCOT region.</w:t>
      </w:r>
    </w:p>
    <w:p>
      <w:pPr>
        <w:ind w:left="208" w:hanging="208"/>
        <w:spacing w:after="0"/>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Pacific Gas &amp; Electric Company virtual trading point located in West region.</w:t>
      </w:r>
    </w:p>
    <w:p>
      <w:pPr>
        <w:spacing w:after="0" w:line="2"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Algonquin Gas Transmission physical delivery point located in New England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8"/>
          </w:cols>
          <w:pgMar w:left="292" w:top="129" w:right="29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2026-05-11T06:05:59Z</dcterms:created>
  <dcterms:modified xsi:type="dcterms:W3CDTF">2026-05-11T06:05:59Z</dcterms:modified>
</cp:coreProperties>
</file>