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Ashish Khandpur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1310 POINT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BALTIMORE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Constellation Energy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CEG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4"/>
        <w:gridCol w:w="904"/>
        <w:gridCol w:w="774"/>
        <w:gridCol w:w="600"/>
        <w:gridCol w:w="349"/>
        <w:gridCol w:w="804"/>
        <w:gridCol w:w="454"/>
        <w:gridCol w:w="840"/>
        <w:gridCol w:w="1163"/>
        <w:gridCol w:w="998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(Deferred Stock Units)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556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305.71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Balance includes approximately 29 shares acquired through quarterly automatic dividend reinvestments.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Buck, Attorney-in-Fact for Ashish Khandpur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4139" TargetMode="External"/><Relationship Id="rId5" Type="http://schemas.openxmlformats.org/officeDocument/2006/relationships/hyperlink" Target="http://www.sec.gov/cgi-bin/browse-edgar?action=getcompany&amp;CIK=00018682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3160</Characters>
  <CharactersWithSpaces>3676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