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Richardson John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1310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Constellation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4"/>
        <w:gridCol w:w="904"/>
        <w:gridCol w:w="774"/>
        <w:gridCol w:w="600"/>
        <w:gridCol w:w="349"/>
        <w:gridCol w:w="804"/>
        <w:gridCol w:w="454"/>
        <w:gridCol w:w="840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(Deferred Stock Units)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556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305.71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Balance includes approximately 82 shares acquired through quarterly automatic dividend reinvestments.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Buck, Attorney-in-Fact for John Richardson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800" TargetMode="External"/><Relationship Id="rId5" Type="http://schemas.openxmlformats.org/officeDocument/2006/relationships/hyperlink" Target="http://www.sec.gov/cgi-bin/browse-edgar?action=getcompany&amp;CIK=00018682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3161</Characters>
  <CharactersWithSpaces>3677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