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Halverson Bradley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1310 POINT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BALTIMORE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21231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Constellation Energy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CEG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04/28/2026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94"/>
        <w:gridCol w:w="904"/>
        <w:gridCol w:w="774"/>
        <w:gridCol w:w="600"/>
        <w:gridCol w:w="349"/>
        <w:gridCol w:w="804"/>
        <w:gridCol w:w="454"/>
        <w:gridCol w:w="840"/>
        <w:gridCol w:w="1163"/>
        <w:gridCol w:w="998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9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9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9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9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 (Deferred Stock Units)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04/28/2026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556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305.71</w:t>
            </w:r>
            <w:r>
              <w:rPr/>
              <w:t xml:space="preserve"> </w:t>
            </w:r>
          </w:p>
        </w:tc>
        <w:tc>
          <w:tcPr>
            <w:tcW w:w="11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6,257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Balance includes approximately 29 shares acquired through quarterly automatic dividend reinvestments.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Brian Buck, Attorney-in-Fact for Bradley Halverson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04/30/2026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07061" TargetMode="External"/><Relationship Id="rId5" Type="http://schemas.openxmlformats.org/officeDocument/2006/relationships/hyperlink" Target="http://www.sec.gov/cgi-bin/browse-edgar?action=getcompany&amp;CIK=000186827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574</Words>
  <Characters>3164</Characters>
  <CharactersWithSpaces>3680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