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5299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29971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LAWLESS ROBERT J</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1310 POINT STREET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Constellation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CEG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04/28/2026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5"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BALTIMORE</w:t>
            </w: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MD</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21231</w:t>
            </w:r>
          </w:p>
        </w:tc>
      </w:tr>
      <w:tr>
        <w:trPr>
          <w:trHeight w:val="145"/>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b w:val="1"/>
                <w:bCs w:val="1"/>
                <w:color w:val="auto"/>
                <w:w w:val="95"/>
              </w:rPr>
              <w:t>1. Title of Security (Instr. 3)</w:t>
            </w:r>
          </w:p>
        </w:tc>
        <w:tc>
          <w:tcPr>
            <w:tcW w:w="1000" w:type="dxa"/>
            <w:vAlign w:val="bottom"/>
          </w:tcPr>
          <w:p>
            <w:pPr>
              <w:spacing w:after="0"/>
              <w:rPr>
                <w:sz w:val="13"/>
                <w:szCs w:val="13"/>
                <w:color w:val="auto"/>
              </w:rPr>
            </w:pP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1"/>
                <w:szCs w:val="11"/>
                <w:color w:val="auto"/>
              </w:rPr>
            </w:pPr>
          </w:p>
        </w:tc>
        <w:tc>
          <w:tcPr>
            <w:tcW w:w="270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2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(Deferred Stock Units)</w:t>
            </w:r>
          </w:p>
        </w:tc>
        <w:tc>
          <w:tcPr>
            <w:tcW w:w="166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6"/>
                <w:szCs w:val="16"/>
                <w:color w:val="0000FF"/>
              </w:rPr>
              <w:t>04/28/2026</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556</w:t>
            </w:r>
          </w:p>
        </w:tc>
        <w:tc>
          <w:tcPr>
            <w:tcW w:w="6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305.71</w:t>
            </w:r>
          </w:p>
        </w:tc>
        <w:tc>
          <w:tcPr>
            <w:tcW w:w="1240" w:type="dxa"/>
            <w:vAlign w:val="bottom"/>
            <w:tcBorders>
              <w:bottom w:val="single" w:sz="8" w:color="2C2C2C"/>
            </w:tcBorders>
            <w:gridSpan w:val="3"/>
          </w:tcPr>
          <w:p>
            <w:pPr>
              <w:jc w:val="center"/>
              <w:ind w:right="262"/>
              <w:spacing w:after="0"/>
              <w:rPr>
                <w:sz w:val="20"/>
                <w:szCs w:val="20"/>
                <w:color w:val="auto"/>
              </w:rPr>
            </w:pPr>
            <w:r>
              <w:rPr>
                <w:rFonts w:ascii="Times New Roman" w:cs="Times New Roman" w:eastAsia="Times New Roman" w:hAnsi="Times New Roman"/>
                <w:sz w:val="16"/>
                <w:szCs w:val="16"/>
                <w:color w:val="0000FF"/>
              </w:rPr>
              <w:t>51,340</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tcPr>
          <w:p>
            <w:pPr>
              <w:jc w:val="right"/>
              <w:ind w:right="382"/>
              <w:spacing w:after="0"/>
              <w:rPr>
                <w:sz w:val="20"/>
                <w:szCs w:val="20"/>
                <w:color w:val="auto"/>
              </w:rPr>
            </w:pPr>
            <w:r>
              <w:rPr>
                <w:rFonts w:ascii="Times New Roman" w:cs="Times New Roman" w:eastAsia="Times New Roman" w:hAnsi="Times New Roman"/>
                <w:sz w:val="16"/>
                <w:szCs w:val="16"/>
                <w:color w:val="0000FF"/>
              </w:rPr>
              <w:t>1,091</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68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13"/>
          </w:tcPr>
          <w:p>
            <w:pPr>
              <w:ind w:left="8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380" w:type="dxa"/>
            <w:vAlign w:val="bottom"/>
            <w:gridSpan w:val="10"/>
          </w:tcPr>
          <w:p>
            <w:pPr>
              <w:ind w:left="5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ind w:right="2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99"/>
              </w:rPr>
              <w:t>56,111</w:t>
            </w:r>
            <w:r>
              <w:rPr>
                <w:rFonts w:ascii="Times New Roman" w:cs="Times New Roman" w:eastAsia="Times New Roman" w:hAnsi="Times New Roman"/>
                <w:sz w:val="21"/>
                <w:szCs w:val="21"/>
                <w:color w:val="008000"/>
                <w:w w:val="99"/>
                <w:vertAlign w:val="superscript"/>
              </w:rPr>
              <w:t>(2)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56,111</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Deferred</w:t>
            </w:r>
          </w:p>
        </w:tc>
        <w:tc>
          <w:tcPr>
            <w:tcW w:w="8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Compensation</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54,398</w:t>
            </w:r>
            <w:r>
              <w:rPr>
                <w:rFonts w:ascii="Times New Roman" w:cs="Times New Roman" w:eastAsia="Times New Roman" w:hAnsi="Times New Roman"/>
                <w:sz w:val="21"/>
                <w:szCs w:val="21"/>
                <w:color w:val="008000"/>
                <w:vertAlign w:val="superscript"/>
              </w:rPr>
              <w:t>(3)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54,398</w:t>
            </w:r>
            <w:r>
              <w:rPr>
                <w:rFonts w:ascii="Times New Roman" w:cs="Times New Roman" w:eastAsia="Times New Roman" w:hAnsi="Times New Roman"/>
                <w:sz w:val="21"/>
                <w:szCs w:val="21"/>
                <w:color w:val="008000"/>
                <w:vertAlign w:val="superscript"/>
              </w:rPr>
              <w:t>(3)</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 Phantom</w:t>
            </w:r>
          </w:p>
        </w:tc>
        <w:tc>
          <w:tcPr>
            <w:tcW w:w="8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Equivalents</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includes approximately 262 shares acquired through quarterly automatic dividend reinvestments.</w:t>
      </w:r>
    </w:p>
    <w:p>
      <w:pPr>
        <w:spacing w:after="0" w:line="40" w:lineRule="exact"/>
        <w:rPr>
          <w:rFonts w:ascii="Times New Roman" w:cs="Times New Roman" w:eastAsia="Times New Roman" w:hAnsi="Times New Roman"/>
          <w:sz w:val="13"/>
          <w:szCs w:val="13"/>
          <w:color w:val="008000"/>
        </w:rPr>
      </w:pPr>
    </w:p>
    <w:p>
      <w:pPr>
        <w:jc w:val="both"/>
        <w:ind w:left="40" w:right="22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deferred stock units converted from the legacy Constellation Energy Group Inc. Deferred Compensation Plan for Non-employee Directors (the "Plan") that will be settled in cash on a 1-for-1 basis using the year-end price of Constellation Energy Corporation common stock in the year of termination of the reporting person's service. Balance updated to reflect approximately 85 additional stock units credited through the quarterly automatic dividend reinvestment feature of the Plan.</w:t>
      </w:r>
    </w:p>
    <w:p>
      <w:pPr>
        <w:spacing w:after="0" w:line="25" w:lineRule="exact"/>
        <w:rPr>
          <w:rFonts w:ascii="Times New Roman" w:cs="Times New Roman" w:eastAsia="Times New Roman" w:hAnsi="Times New Roman"/>
          <w:sz w:val="13"/>
          <w:szCs w:val="13"/>
          <w:color w:val="008000"/>
        </w:rPr>
      </w:pPr>
    </w:p>
    <w:p>
      <w:pPr>
        <w:jc w:val="both"/>
        <w:ind w:left="40" w:right="18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share equivalents acquired in the reporting person's Constellation Energy Corporation stock fund account that is part of a multi-fund, non-qualified deferred compensation plan and will be settled in cash on a 1-for-1 basis upon termination of the reporting person's service. The balance of phantom share equivalents may fluctuate due to periodic changes in the fund composition. Balance also reflects approximately 70 share equivalents accrued through quarterly automatic dividend reinvestments.</w:t>
      </w:r>
    </w:p>
    <w:p>
      <w:pPr>
        <w:ind w:left="6600"/>
        <w:spacing w:after="0" w:line="182" w:lineRule="auto"/>
        <w:rPr>
          <w:sz w:val="20"/>
          <w:szCs w:val="20"/>
          <w:color w:val="auto"/>
        </w:rPr>
      </w:pPr>
      <w:r>
        <w:rPr>
          <w:rFonts w:ascii="Times New Roman" w:cs="Times New Roman" w:eastAsia="Times New Roman" w:hAnsi="Times New Roman"/>
          <w:sz w:val="16"/>
          <w:szCs w:val="16"/>
          <w:color w:val="0000FF"/>
        </w:rPr>
        <w:t xml:space="preserve">/s/ Brian Buck, Attorney-in-Fact </w:t>
      </w:r>
      <w:r>
        <w:rPr>
          <w:rFonts w:ascii="Times New Roman" w:cs="Times New Roman" w:eastAsia="Times New Roman" w:hAnsi="Times New Roman"/>
          <w:sz w:val="31"/>
          <w:szCs w:val="31"/>
          <w:color w:val="0000FF"/>
          <w:vertAlign w:val="subscript"/>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8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for Robert J. Lawless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894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9408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6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64638" TargetMode="External"/><Relationship Id="rId14" Type="http://schemas.openxmlformats.org/officeDocument/2006/relationships/hyperlink" Target="http://www.sec.gov/cgi-bin/browse-edgar?action=getcompany&amp;CIK=00018682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2026-04-30T15:33:47Z</dcterms:created>
  <dcterms:modified xsi:type="dcterms:W3CDTF">2026-04-30T15:33:47Z</dcterms:modified>
</cp:coreProperties>
</file>