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CRANDALL ROGER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1310 POINT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Constellation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5"/>
        <w:gridCol w:w="931"/>
        <w:gridCol w:w="799"/>
        <w:gridCol w:w="618"/>
        <w:gridCol w:w="346"/>
        <w:gridCol w:w="827"/>
        <w:gridCol w:w="431"/>
        <w:gridCol w:w="1102"/>
        <w:gridCol w:w="1137"/>
        <w:gridCol w:w="984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278.6206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(Deferred Stock Units)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462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$278.405 to $279.00, inclusive. The price reported reflects the weighted average purchase price. The Reporting Person hereby undertakes to provide upon request to the SEC staff, the Issuer or a security holder of the Issuer full information regarding the number of shares purchased at each separate price within the range set forth in this footnote.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Buck, Attorney-in-Fact for Roger Crandall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4961" TargetMode="External"/><Relationship Id="rId5" Type="http://schemas.openxmlformats.org/officeDocument/2006/relationships/hyperlink" Target="http://www.sec.gov/cgi-bin/browse-edgar?action=getcompany&amp;CIK=00018682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3462</Characters>
  <CharactersWithSpaces>4029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