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2080" w:type="dxa"/>
            <w:vAlign w:val="bottom"/>
            <w:gridSpan w:val="2"/>
          </w:tcPr>
          <w:p>
            <w:pPr>
              <w:ind w:left="1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916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r>
      <w:tr>
        <w:trPr>
          <w:trHeight w:val="249"/>
        </w:trPr>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180" w:type="dxa"/>
            <w:vAlign w:val="bottom"/>
            <w:gridSpan w:val="2"/>
          </w:tcPr>
          <w:p>
            <w:pPr>
              <w:ind w:left="1940"/>
              <w:spacing w:after="0"/>
              <w:rPr>
                <w:sz w:val="20"/>
                <w:szCs w:val="20"/>
                <w:color w:val="auto"/>
              </w:rPr>
            </w:pPr>
            <w:r>
              <w:rPr>
                <w:rFonts w:ascii="Arial" w:cs="Arial" w:eastAsia="Arial" w:hAnsi="Arial"/>
                <w:sz w:val="14"/>
                <w:szCs w:val="14"/>
                <w:b w:val="1"/>
                <w:bCs w:val="1"/>
                <w:color w:val="auto"/>
              </w:rPr>
              <w:t>For the Quarterly Period Ended March 31, 2026</w:t>
            </w:r>
          </w:p>
        </w:tc>
        <w:tc>
          <w:tcPr>
            <w:tcW w:w="1980" w:type="dxa"/>
            <w:vAlign w:val="bottom"/>
          </w:tcPr>
          <w:p>
            <w:pPr>
              <w:spacing w:after="0"/>
              <w:rPr>
                <w:sz w:val="21"/>
                <w:szCs w:val="21"/>
                <w:color w:val="auto"/>
              </w:rPr>
            </w:pPr>
          </w:p>
        </w:tc>
      </w:tr>
      <w:tr>
        <w:trPr>
          <w:trHeight w:val="196"/>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gridSpan w:val="2"/>
          </w:tcPr>
          <w:p>
            <w:pPr>
              <w:ind w:left="3500"/>
              <w:spacing w:after="0"/>
              <w:rPr>
                <w:sz w:val="20"/>
                <w:szCs w:val="20"/>
                <w:color w:val="auto"/>
              </w:rPr>
            </w:pPr>
            <w:r>
              <w:rPr>
                <w:rFonts w:ascii="Arial" w:cs="Arial" w:eastAsia="Arial" w:hAnsi="Arial"/>
                <w:sz w:val="14"/>
                <w:szCs w:val="14"/>
                <w:b w:val="1"/>
                <w:bCs w:val="1"/>
                <w:color w:val="auto"/>
              </w:rPr>
              <w:t>or</w:t>
            </w:r>
          </w:p>
        </w:tc>
        <w:tc>
          <w:tcPr>
            <w:tcW w:w="1980" w:type="dxa"/>
            <w:vAlign w:val="bottom"/>
          </w:tcPr>
          <w:p>
            <w:pPr>
              <w:spacing w:after="0"/>
              <w:rPr>
                <w:sz w:val="17"/>
                <w:szCs w:val="17"/>
                <w:color w:val="auto"/>
              </w:rPr>
            </w:pPr>
          </w:p>
        </w:tc>
      </w:tr>
      <w:tr>
        <w:trPr>
          <w:trHeight w:val="325"/>
        </w:trPr>
        <w:tc>
          <w:tcPr>
            <w:tcW w:w="2080" w:type="dxa"/>
            <w:vAlign w:val="bottom"/>
            <w:gridSpan w:val="2"/>
          </w:tcPr>
          <w:p>
            <w:pPr>
              <w:ind w:left="1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9160" w:type="dxa"/>
            <w:vAlign w:val="bottom"/>
            <w:gridSpan w:val="3"/>
          </w:tcPr>
          <w:p>
            <w:pPr>
              <w:ind w:left="12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r>
      <w:tr>
        <w:trPr>
          <w:trHeight w:val="366"/>
        </w:trPr>
        <w:tc>
          <w:tcPr>
            <w:tcW w:w="2080" w:type="dxa"/>
            <w:vAlign w:val="bottom"/>
            <w:gridSpan w:val="2"/>
          </w:tcPr>
          <w:p>
            <w:pPr>
              <w:ind w:left="20"/>
              <w:spacing w:after="0"/>
              <w:rPr>
                <w:sz w:val="20"/>
                <w:szCs w:val="20"/>
                <w:color w:val="auto"/>
              </w:rPr>
            </w:pPr>
            <w:r>
              <w:rPr>
                <w:rFonts w:ascii="Arial" w:cs="Arial" w:eastAsia="Arial" w:hAnsi="Arial"/>
                <w:sz w:val="13"/>
                <w:szCs w:val="13"/>
                <w:b w:val="1"/>
                <w:bCs w:val="1"/>
                <w:color w:val="auto"/>
              </w:rPr>
              <w:t>Commission</w:t>
            </w:r>
          </w:p>
        </w:tc>
        <w:tc>
          <w:tcPr>
            <w:tcW w:w="718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 of Registrant; State or Other Jurisdiction of Incorporation; Address of Principal Executive Offices; and</w:t>
            </w:r>
          </w:p>
        </w:tc>
        <w:tc>
          <w:tcPr>
            <w:tcW w:w="1980" w:type="dxa"/>
            <w:vAlign w:val="bottom"/>
          </w:tcPr>
          <w:p>
            <w:pPr>
              <w:ind w:left="20"/>
              <w:spacing w:after="0"/>
              <w:rPr>
                <w:sz w:val="20"/>
                <w:szCs w:val="20"/>
                <w:color w:val="auto"/>
              </w:rPr>
            </w:pPr>
            <w:r>
              <w:rPr>
                <w:rFonts w:ascii="Arial" w:cs="Arial" w:eastAsia="Arial" w:hAnsi="Arial"/>
                <w:sz w:val="13"/>
                <w:szCs w:val="13"/>
                <w:b w:val="1"/>
                <w:bCs w:val="1"/>
                <w:color w:val="auto"/>
              </w:rPr>
              <w:t>IRS Employer Identification</w:t>
            </w:r>
          </w:p>
        </w:tc>
      </w:tr>
      <w:tr>
        <w:trPr>
          <w:trHeight w:val="188"/>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File Number</w:t>
            </w:r>
          </w:p>
        </w:tc>
        <w:tc>
          <w:tcPr>
            <w:tcW w:w="120" w:type="dxa"/>
            <w:vAlign w:val="bottom"/>
          </w:tcPr>
          <w:p>
            <w:pPr>
              <w:spacing w:after="0"/>
              <w:rPr>
                <w:sz w:val="16"/>
                <w:szCs w:val="16"/>
                <w:color w:val="auto"/>
              </w:rPr>
            </w:pPr>
          </w:p>
        </w:tc>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Telephone Number</w:t>
            </w:r>
          </w:p>
        </w:tc>
        <w:tc>
          <w:tcPr>
            <w:tcW w:w="100" w:type="dxa"/>
            <w:vAlign w:val="bottom"/>
          </w:tcPr>
          <w:p>
            <w:pPr>
              <w:spacing w:after="0"/>
              <w:rPr>
                <w:sz w:val="16"/>
                <w:szCs w:val="16"/>
                <w:color w:val="auto"/>
              </w:rPr>
            </w:pPr>
          </w:p>
        </w:tc>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r>
      <w:tr>
        <w:trPr>
          <w:trHeight w:val="249"/>
        </w:trPr>
        <w:tc>
          <w:tcPr>
            <w:tcW w:w="1960" w:type="dxa"/>
            <w:vAlign w:val="bottom"/>
          </w:tcPr>
          <w:p>
            <w:pPr>
              <w:ind w:left="20"/>
              <w:spacing w:after="0"/>
              <w:rPr>
                <w:sz w:val="20"/>
                <w:szCs w:val="20"/>
                <w:color w:val="auto"/>
              </w:rPr>
            </w:pPr>
            <w:r>
              <w:rPr>
                <w:rFonts w:ascii="Arial" w:cs="Arial" w:eastAsia="Arial" w:hAnsi="Arial"/>
                <w:sz w:val="16"/>
                <w:szCs w:val="16"/>
                <w:color w:val="auto"/>
              </w:rPr>
              <w:t>001-41137</w:t>
            </w:r>
          </w:p>
        </w:tc>
        <w:tc>
          <w:tcPr>
            <w:tcW w:w="120" w:type="dxa"/>
            <w:vAlign w:val="bottom"/>
          </w:tcPr>
          <w:p>
            <w:pPr>
              <w:spacing w:after="0"/>
              <w:rPr>
                <w:sz w:val="21"/>
                <w:szCs w:val="21"/>
                <w:color w:val="auto"/>
              </w:rPr>
            </w:pPr>
          </w:p>
        </w:tc>
        <w:tc>
          <w:tcPr>
            <w:tcW w:w="7180" w:type="dxa"/>
            <w:vAlign w:val="bottom"/>
            <w:gridSpan w:val="2"/>
          </w:tcPr>
          <w:p>
            <w:pPr>
              <w:ind w:left="20"/>
              <w:spacing w:after="0"/>
              <w:rPr>
                <w:sz w:val="20"/>
                <w:szCs w:val="20"/>
                <w:color w:val="auto"/>
              </w:rPr>
            </w:pPr>
            <w:r>
              <w:rPr>
                <w:rFonts w:ascii="Arial" w:cs="Arial" w:eastAsia="Arial" w:hAnsi="Arial"/>
                <w:sz w:val="16"/>
                <w:szCs w:val="16"/>
                <w:color w:val="auto"/>
              </w:rPr>
              <w:t>CONSTELLATION ENERGY CORPORATION</w:t>
            </w:r>
          </w:p>
        </w:tc>
        <w:tc>
          <w:tcPr>
            <w:tcW w:w="1980" w:type="dxa"/>
            <w:vAlign w:val="bottom"/>
          </w:tcPr>
          <w:p>
            <w:pPr>
              <w:jc w:val="right"/>
              <w:spacing w:after="0"/>
              <w:rPr>
                <w:sz w:val="20"/>
                <w:szCs w:val="20"/>
                <w:color w:val="auto"/>
              </w:rPr>
            </w:pPr>
            <w:r>
              <w:rPr>
                <w:rFonts w:ascii="Arial" w:cs="Arial" w:eastAsia="Arial" w:hAnsi="Arial"/>
                <w:sz w:val="16"/>
                <w:szCs w:val="16"/>
                <w:color w:val="auto"/>
              </w:rPr>
              <w:t>87-1210716</w:t>
            </w:r>
          </w:p>
        </w:tc>
      </w:tr>
      <w:tr>
        <w:trPr>
          <w:trHeight w:val="155"/>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1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(a Pennsylvania corporation)</w:t>
            </w:r>
          </w:p>
        </w:tc>
        <w:tc>
          <w:tcPr>
            <w:tcW w:w="1980" w:type="dxa"/>
            <w:vAlign w:val="bottom"/>
          </w:tcPr>
          <w:p>
            <w:pPr>
              <w:spacing w:after="0"/>
              <w:rPr>
                <w:sz w:val="13"/>
                <w:szCs w:val="13"/>
                <w:color w:val="auto"/>
              </w:rPr>
            </w:pPr>
          </w:p>
        </w:tc>
      </w:tr>
      <w:tr>
        <w:trPr>
          <w:trHeight w:val="144"/>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8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1310 Point Street</w:t>
            </w:r>
          </w:p>
        </w:tc>
        <w:tc>
          <w:tcPr>
            <w:tcW w:w="1980" w:type="dxa"/>
            <w:vAlign w:val="bottom"/>
          </w:tcPr>
          <w:p>
            <w:pPr>
              <w:spacing w:after="0"/>
              <w:rPr>
                <w:sz w:val="12"/>
                <w:szCs w:val="12"/>
                <w:color w:val="auto"/>
              </w:rPr>
            </w:pPr>
          </w:p>
        </w:tc>
      </w:tr>
      <w:tr>
        <w:trPr>
          <w:trHeight w:val="13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8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Baltimore, Maryland 21231-3380</w:t>
            </w:r>
          </w:p>
        </w:tc>
        <w:tc>
          <w:tcPr>
            <w:tcW w:w="1980" w:type="dxa"/>
            <w:vAlign w:val="bottom"/>
          </w:tcPr>
          <w:p>
            <w:pPr>
              <w:spacing w:after="0"/>
              <w:rPr>
                <w:sz w:val="12"/>
                <w:szCs w:val="12"/>
                <w:color w:val="auto"/>
              </w:rPr>
            </w:pPr>
          </w:p>
        </w:tc>
      </w:tr>
      <w:tr>
        <w:trPr>
          <w:trHeight w:val="190"/>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tcPr>
          <w:p>
            <w:pPr>
              <w:ind w:left="20"/>
              <w:spacing w:after="0"/>
              <w:rPr>
                <w:sz w:val="20"/>
                <w:szCs w:val="20"/>
                <w:color w:val="auto"/>
              </w:rPr>
            </w:pPr>
            <w:r>
              <w:rPr>
                <w:rFonts w:ascii="Arial" w:cs="Arial" w:eastAsia="Arial" w:hAnsi="Arial"/>
                <w:sz w:val="14"/>
                <w:szCs w:val="14"/>
                <w:color w:val="auto"/>
              </w:rPr>
              <w:t>(833) 883-0162</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76"/>
        </w:trPr>
        <w:tc>
          <w:tcPr>
            <w:tcW w:w="1960" w:type="dxa"/>
            <w:vAlign w:val="bottom"/>
          </w:tcPr>
          <w:p>
            <w:pPr>
              <w:ind w:left="20"/>
              <w:spacing w:after="0"/>
              <w:rPr>
                <w:sz w:val="20"/>
                <w:szCs w:val="20"/>
                <w:color w:val="auto"/>
              </w:rPr>
            </w:pPr>
            <w:r>
              <w:rPr>
                <w:rFonts w:ascii="Arial" w:cs="Arial" w:eastAsia="Arial" w:hAnsi="Arial"/>
                <w:sz w:val="16"/>
                <w:szCs w:val="16"/>
                <w:color w:val="auto"/>
              </w:rPr>
              <w:t>333-85496</w:t>
            </w:r>
          </w:p>
        </w:tc>
        <w:tc>
          <w:tcPr>
            <w:tcW w:w="120" w:type="dxa"/>
            <w:vAlign w:val="bottom"/>
          </w:tcPr>
          <w:p>
            <w:pPr>
              <w:spacing w:after="0"/>
              <w:rPr>
                <w:sz w:val="24"/>
                <w:szCs w:val="24"/>
                <w:color w:val="auto"/>
              </w:rPr>
            </w:pPr>
          </w:p>
        </w:tc>
        <w:tc>
          <w:tcPr>
            <w:tcW w:w="7180" w:type="dxa"/>
            <w:vAlign w:val="bottom"/>
            <w:gridSpan w:val="2"/>
          </w:tcPr>
          <w:p>
            <w:pPr>
              <w:ind w:left="20"/>
              <w:spacing w:after="0"/>
              <w:rPr>
                <w:sz w:val="20"/>
                <w:szCs w:val="20"/>
                <w:color w:val="auto"/>
              </w:rPr>
            </w:pPr>
            <w:r>
              <w:rPr>
                <w:rFonts w:ascii="Arial" w:cs="Arial" w:eastAsia="Arial" w:hAnsi="Arial"/>
                <w:sz w:val="16"/>
                <w:szCs w:val="16"/>
                <w:color w:val="auto"/>
              </w:rPr>
              <w:t>CONSTELLATION ENERGY GENERATION, LLC</w:t>
            </w:r>
          </w:p>
        </w:tc>
        <w:tc>
          <w:tcPr>
            <w:tcW w:w="1980" w:type="dxa"/>
            <w:vAlign w:val="bottom"/>
          </w:tcPr>
          <w:p>
            <w:pPr>
              <w:jc w:val="right"/>
              <w:spacing w:after="0"/>
              <w:rPr>
                <w:sz w:val="20"/>
                <w:szCs w:val="20"/>
                <w:color w:val="auto"/>
              </w:rPr>
            </w:pPr>
            <w:r>
              <w:rPr>
                <w:rFonts w:ascii="Arial" w:cs="Arial" w:eastAsia="Arial" w:hAnsi="Arial"/>
                <w:sz w:val="16"/>
                <w:szCs w:val="16"/>
                <w:color w:val="auto"/>
              </w:rPr>
              <w:t>23-3064219</w:t>
            </w:r>
          </w:p>
        </w:tc>
      </w:tr>
      <w:tr>
        <w:trPr>
          <w:trHeight w:val="155"/>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1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(a Pennsylvania limited liability company)</w:t>
            </w:r>
          </w:p>
        </w:tc>
        <w:tc>
          <w:tcPr>
            <w:tcW w:w="1980" w:type="dxa"/>
            <w:vAlign w:val="bottom"/>
          </w:tcPr>
          <w:p>
            <w:pPr>
              <w:spacing w:after="0"/>
              <w:rPr>
                <w:sz w:val="13"/>
                <w:szCs w:val="13"/>
                <w:color w:val="auto"/>
              </w:rPr>
            </w:pPr>
          </w:p>
        </w:tc>
      </w:tr>
      <w:tr>
        <w:trPr>
          <w:trHeight w:val="144"/>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8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200 Energy Way</w:t>
            </w:r>
          </w:p>
        </w:tc>
        <w:tc>
          <w:tcPr>
            <w:tcW w:w="1980" w:type="dxa"/>
            <w:vAlign w:val="bottom"/>
          </w:tcPr>
          <w:p>
            <w:pPr>
              <w:spacing w:after="0"/>
              <w:rPr>
                <w:sz w:val="12"/>
                <w:szCs w:val="12"/>
                <w:color w:val="auto"/>
              </w:rPr>
            </w:pPr>
          </w:p>
        </w:tc>
      </w:tr>
      <w:tr>
        <w:trPr>
          <w:trHeight w:val="13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8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Kennett Square, Pennsylvania 19348-2473</w:t>
            </w:r>
          </w:p>
        </w:tc>
        <w:tc>
          <w:tcPr>
            <w:tcW w:w="1980" w:type="dxa"/>
            <w:vAlign w:val="bottom"/>
          </w:tcPr>
          <w:p>
            <w:pPr>
              <w:spacing w:after="0"/>
              <w:rPr>
                <w:sz w:val="12"/>
                <w:szCs w:val="12"/>
                <w:color w:val="auto"/>
              </w:rPr>
            </w:pPr>
          </w:p>
        </w:tc>
      </w:tr>
      <w:tr>
        <w:trPr>
          <w:trHeight w:val="190"/>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tcPr>
          <w:p>
            <w:pPr>
              <w:ind w:left="20"/>
              <w:spacing w:after="0"/>
              <w:rPr>
                <w:sz w:val="20"/>
                <w:szCs w:val="20"/>
                <w:color w:val="auto"/>
              </w:rPr>
            </w:pPr>
            <w:r>
              <w:rPr>
                <w:rFonts w:ascii="Arial" w:cs="Arial" w:eastAsia="Arial" w:hAnsi="Arial"/>
                <w:sz w:val="14"/>
                <w:szCs w:val="14"/>
                <w:color w:val="auto"/>
              </w:rPr>
              <w:t>(833) 883-0162</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Borders>
              <w:bottom w:val="single" w:sz="8" w:color="auto"/>
            </w:tcBorders>
          </w:tcPr>
          <w:p>
            <w:pPr>
              <w:ind w:left="1800"/>
              <w:spacing w:after="0"/>
              <w:rPr>
                <w:sz w:val="20"/>
                <w:szCs w:val="20"/>
                <w:color w:val="auto"/>
              </w:rPr>
            </w:pPr>
            <w:r>
              <w:rPr>
                <w:rFonts w:ascii="Arial" w:cs="Arial" w:eastAsia="Arial" w:hAnsi="Arial"/>
                <w:sz w:val="13"/>
                <w:szCs w:val="13"/>
                <w:b w:val="1"/>
                <w:bCs w:val="1"/>
                <w:color w:val="auto"/>
              </w:rPr>
              <w:t>Title of each class</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Trading Symbol(s)</w:t>
            </w:r>
          </w:p>
        </w:tc>
        <w:tc>
          <w:tcPr>
            <w:tcW w:w="100" w:type="dxa"/>
            <w:vAlign w:val="bottom"/>
          </w:tcPr>
          <w:p>
            <w:pPr>
              <w:spacing w:after="0"/>
              <w:rPr>
                <w:sz w:val="16"/>
                <w:szCs w:val="16"/>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96"/>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CONSTELLATION ENERGY CORPORATION:</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tcPr>
          <w:p>
            <w:pPr>
              <w:spacing w:after="0"/>
              <w:rPr>
                <w:sz w:val="17"/>
                <w:szCs w:val="17"/>
                <w:color w:val="auto"/>
              </w:rPr>
            </w:pPr>
          </w:p>
        </w:tc>
      </w:tr>
      <w:tr>
        <w:trPr>
          <w:trHeight w:val="197"/>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Common Stock, without par value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CEG</w:t>
            </w:r>
          </w:p>
        </w:tc>
        <w:tc>
          <w:tcPr>
            <w:tcW w:w="476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42" w:lineRule="exact"/>
        <w:rPr>
          <w:sz w:val="24"/>
          <w:szCs w:val="24"/>
          <w:color w:val="auto"/>
        </w:rPr>
      </w:pPr>
    </w:p>
    <w:p>
      <w:pPr>
        <w:jc w:val="both"/>
        <w:spacing w:after="0" w:line="30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240"/>
          </w:cols>
          <w:pgMar w:left="320" w:top="877" w:right="339" w:bottom="1440" w:gutter="0" w:footer="0" w:header="0"/>
        </w:sectPr>
      </w:pPr>
    </w:p>
    <w:p>
      <w:pPr>
        <w:spacing w:after="0" w:line="144" w:lineRule="exact"/>
        <w:rPr>
          <w:sz w:val="24"/>
          <w:szCs w:val="24"/>
          <w:color w:val="auto"/>
        </w:rPr>
      </w:pPr>
    </w:p>
    <w:p>
      <w:pPr>
        <w:ind w:left="20"/>
        <w:spacing w:after="0"/>
        <w:rPr>
          <w:sz w:val="20"/>
          <w:szCs w:val="20"/>
          <w:color w:val="auto"/>
        </w:rPr>
      </w:pPr>
      <w:r>
        <w:rPr>
          <w:rFonts w:ascii="Arial" w:cs="Arial" w:eastAsia="Arial" w:hAnsi="Arial"/>
          <w:sz w:val="14"/>
          <w:szCs w:val="14"/>
          <w:color w:val="auto"/>
        </w:rPr>
        <w:t>Constellation Energy Corporation</w:t>
      </w:r>
    </w:p>
    <w:p>
      <w:pPr>
        <w:spacing w:after="0" w:line="42" w:lineRule="exact"/>
        <w:rPr>
          <w:sz w:val="24"/>
          <w:szCs w:val="24"/>
          <w:color w:val="auto"/>
        </w:rPr>
      </w:pPr>
    </w:p>
    <w:p>
      <w:pPr>
        <w:ind w:left="20"/>
        <w:spacing w:after="0"/>
        <w:rPr>
          <w:sz w:val="20"/>
          <w:szCs w:val="20"/>
          <w:color w:val="auto"/>
        </w:rPr>
      </w:pPr>
      <w:r>
        <w:rPr>
          <w:rFonts w:ascii="Arial" w:cs="Arial" w:eastAsia="Arial" w:hAnsi="Arial"/>
          <w:sz w:val="14"/>
          <w:szCs w:val="14"/>
          <w:color w:val="auto"/>
        </w:rPr>
        <w:t>Constellation Energy Generation, LLC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58"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33" w:lineRule="exact"/>
        <w:rPr>
          <w:sz w:val="24"/>
          <w:szCs w:val="24"/>
          <w:color w:val="auto"/>
        </w:rPr>
      </w:pPr>
    </w:p>
    <w:p>
      <w:pPr>
        <w:sectPr>
          <w:pgSz w:w="11900" w:h="16838" w:orient="portrait"/>
          <w:cols w:equalWidth="0" w:num="5">
            <w:col w:w="8900" w:space="720"/>
            <w:col w:w="240" w:space="120"/>
            <w:col w:w="140" w:space="560"/>
            <w:col w:w="180" w:space="120"/>
            <w:col w:w="260"/>
          </w:cols>
          <w:pgMar w:left="320" w:top="877" w:right="339" w:bottom="1440" w:gutter="0" w:footer="0" w:header="0"/>
          <w:type w:val="continuous"/>
        </w:sectPr>
      </w:pPr>
    </w:p>
    <w:p>
      <w:pPr>
        <w:spacing w:after="0" w:line="71"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2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auto"/>
              </w:rPr>
              <w:t>Constellation Energy</w:t>
            </w:r>
          </w:p>
        </w:tc>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vMerge w:val="restart"/>
          </w:tcPr>
          <w:p>
            <w:pPr>
              <w:ind w:left="260"/>
              <w:spacing w:after="0" w:line="161"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Smaller Reporting</w:t>
            </w:r>
          </w:p>
        </w:tc>
        <w:tc>
          <w:tcPr>
            <w:tcW w:w="4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Emerging Growth</w:t>
            </w:r>
          </w:p>
        </w:tc>
        <w:tc>
          <w:tcPr>
            <w:tcW w:w="18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2"/>
        </w:trPr>
        <w:tc>
          <w:tcPr>
            <w:tcW w:w="1660" w:type="dxa"/>
            <w:vAlign w:val="bottom"/>
          </w:tcPr>
          <w:p>
            <w:pPr>
              <w:spacing w:after="0"/>
              <w:rPr>
                <w:sz w:val="20"/>
                <w:szCs w:val="20"/>
                <w:color w:val="auto"/>
              </w:rPr>
            </w:pPr>
            <w:r>
              <w:rPr>
                <w:rFonts w:ascii="Arial" w:cs="Arial" w:eastAsia="Arial" w:hAnsi="Arial"/>
                <w:sz w:val="14"/>
                <w:szCs w:val="14"/>
                <w:color w:val="auto"/>
              </w:rPr>
              <w:t>Corporation</w:t>
            </w:r>
          </w:p>
        </w:tc>
        <w:tc>
          <w:tcPr>
            <w:tcW w:w="2240" w:type="dxa"/>
            <w:vAlign w:val="bottom"/>
          </w:tcPr>
          <w:p>
            <w:pPr>
              <w:ind w:left="340"/>
              <w:spacing w:after="0"/>
              <w:rPr>
                <w:sz w:val="20"/>
                <w:szCs w:val="20"/>
                <w:color w:val="auto"/>
              </w:rPr>
            </w:pPr>
            <w:r>
              <w:rPr>
                <w:rFonts w:ascii="Arial" w:cs="Arial" w:eastAsia="Arial" w:hAnsi="Arial"/>
                <w:sz w:val="13"/>
                <w:szCs w:val="13"/>
                <w:color w:val="auto"/>
              </w:rPr>
              <w:t xml:space="preserve">Large Accelerated Filer </w:t>
            </w:r>
            <w:r>
              <w:rPr>
                <w:rFonts w:ascii="Wingdings" w:cs="Wingdings" w:eastAsia="Wingdings" w:hAnsi="Wingdings"/>
                <w:sz w:val="14"/>
                <w:szCs w:val="14"/>
                <w:b w:val="1"/>
                <w:bCs w:val="1"/>
                <w:color w:val="auto"/>
              </w:rPr>
              <w:t>x</w:t>
            </w:r>
          </w:p>
        </w:tc>
        <w:tc>
          <w:tcPr>
            <w:tcW w:w="1380" w:type="dxa"/>
            <w:vAlign w:val="bottom"/>
          </w:tcPr>
          <w:p>
            <w:pPr>
              <w:ind w:left="320"/>
              <w:spacing w:after="0"/>
              <w:rPr>
                <w:sz w:val="20"/>
                <w:szCs w:val="20"/>
                <w:color w:val="auto"/>
              </w:rPr>
            </w:pPr>
            <w:r>
              <w:rPr>
                <w:rFonts w:ascii="Arial" w:cs="Arial" w:eastAsia="Arial" w:hAnsi="Arial"/>
                <w:sz w:val="13"/>
                <w:szCs w:val="13"/>
                <w:color w:val="auto"/>
              </w:rPr>
              <w:t>Accelerated Filer</w:t>
            </w:r>
          </w:p>
        </w:tc>
        <w:tc>
          <w:tcPr>
            <w:tcW w:w="44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Company</w:t>
            </w:r>
          </w:p>
        </w:tc>
        <w:tc>
          <w:tcPr>
            <w:tcW w:w="440" w:type="dxa"/>
            <w:vAlign w:val="bottom"/>
            <w:vMerge w:val="continue"/>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Company</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660" w:type="dxa"/>
            <w:vAlign w:val="bottom"/>
          </w:tcPr>
          <w:p>
            <w:pPr>
              <w:spacing w:after="0" w:line="145" w:lineRule="exact"/>
              <w:rPr>
                <w:sz w:val="20"/>
                <w:szCs w:val="20"/>
                <w:color w:val="auto"/>
              </w:rPr>
            </w:pPr>
            <w:r>
              <w:rPr>
                <w:rFonts w:ascii="Arial" w:cs="Arial" w:eastAsia="Arial" w:hAnsi="Arial"/>
                <w:sz w:val="14"/>
                <w:szCs w:val="14"/>
                <w:color w:val="auto"/>
              </w:rPr>
              <w:t>Constellation Energy</w:t>
            </w:r>
          </w:p>
        </w:tc>
        <w:tc>
          <w:tcPr>
            <w:tcW w:w="2240" w:type="dxa"/>
            <w:vAlign w:val="bottom"/>
            <w:vMerge w:val="restart"/>
          </w:tcPr>
          <w:p>
            <w:pPr>
              <w:ind w:left="340"/>
              <w:spacing w:after="0" w:line="161"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4"/>
                <w:szCs w:val="14"/>
                <w:color w:val="auto"/>
              </w:rPr>
              <w:t>☐</w:t>
            </w:r>
          </w:p>
        </w:tc>
        <w:tc>
          <w:tcPr>
            <w:tcW w:w="1380" w:type="dxa"/>
            <w:vAlign w:val="bottom"/>
          </w:tcPr>
          <w:p>
            <w:pPr>
              <w:spacing w:after="0"/>
              <w:rPr>
                <w:sz w:val="12"/>
                <w:szCs w:val="12"/>
                <w:color w:val="auto"/>
              </w:rPr>
            </w:pPr>
          </w:p>
        </w:tc>
        <w:tc>
          <w:tcPr>
            <w:tcW w:w="4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Arial" w:cs="Arial" w:eastAsia="Arial" w:hAnsi="Arial"/>
                <w:sz w:val="13"/>
                <w:szCs w:val="13"/>
                <w:color w:val="auto"/>
              </w:rPr>
              <w:t>Smaller Reporting</w:t>
            </w:r>
          </w:p>
        </w:tc>
        <w:tc>
          <w:tcPr>
            <w:tcW w:w="4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jc w:val="right"/>
              <w:spacing w:after="0" w:line="145" w:lineRule="exact"/>
              <w:rPr>
                <w:sz w:val="20"/>
                <w:szCs w:val="20"/>
                <w:color w:val="auto"/>
              </w:rPr>
            </w:pPr>
            <w:r>
              <w:rPr>
                <w:rFonts w:ascii="Arial" w:cs="Arial" w:eastAsia="Arial" w:hAnsi="Arial"/>
                <w:sz w:val="13"/>
                <w:szCs w:val="13"/>
                <w:color w:val="auto"/>
              </w:rPr>
              <w:t>Emerging Growth</w:t>
            </w:r>
          </w:p>
        </w:tc>
        <w:tc>
          <w:tcPr>
            <w:tcW w:w="18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4"/>
        </w:trPr>
        <w:tc>
          <w:tcPr>
            <w:tcW w:w="1660" w:type="dxa"/>
            <w:vAlign w:val="bottom"/>
          </w:tcPr>
          <w:p>
            <w:pPr>
              <w:spacing w:after="0"/>
              <w:rPr>
                <w:sz w:val="20"/>
                <w:szCs w:val="20"/>
                <w:color w:val="auto"/>
              </w:rPr>
            </w:pPr>
            <w:r>
              <w:rPr>
                <w:rFonts w:ascii="Arial" w:cs="Arial" w:eastAsia="Arial" w:hAnsi="Arial"/>
                <w:sz w:val="14"/>
                <w:szCs w:val="14"/>
                <w:color w:val="auto"/>
              </w:rPr>
              <w:t>Generation, LLC</w:t>
            </w:r>
          </w:p>
        </w:tc>
        <w:tc>
          <w:tcPr>
            <w:tcW w:w="2240" w:type="dxa"/>
            <w:vAlign w:val="bottom"/>
            <w:vMerge w:val="continue"/>
          </w:tcPr>
          <w:p>
            <w:pPr>
              <w:spacing w:after="0"/>
              <w:rPr>
                <w:sz w:val="16"/>
                <w:szCs w:val="16"/>
                <w:color w:val="auto"/>
              </w:rPr>
            </w:pPr>
          </w:p>
        </w:tc>
        <w:tc>
          <w:tcPr>
            <w:tcW w:w="1380" w:type="dxa"/>
            <w:vAlign w:val="bottom"/>
          </w:tcPr>
          <w:p>
            <w:pPr>
              <w:ind w:left="320"/>
              <w:spacing w:after="0"/>
              <w:rPr>
                <w:sz w:val="20"/>
                <w:szCs w:val="20"/>
                <w:color w:val="auto"/>
              </w:rPr>
            </w:pPr>
            <w:r>
              <w:rPr>
                <w:rFonts w:ascii="Arial" w:cs="Arial" w:eastAsia="Arial" w:hAnsi="Arial"/>
                <w:sz w:val="13"/>
                <w:szCs w:val="13"/>
                <w:color w:val="auto"/>
              </w:rPr>
              <w:t>Accelerated Filer</w:t>
            </w:r>
          </w:p>
        </w:tc>
        <w:tc>
          <w:tcPr>
            <w:tcW w:w="440" w:type="dxa"/>
            <w:vAlign w:val="bottom"/>
            <w:vMerge w:val="continue"/>
          </w:tcPr>
          <w:p>
            <w:pPr>
              <w:spacing w:after="0"/>
              <w:rPr>
                <w:sz w:val="16"/>
                <w:szCs w:val="16"/>
                <w:color w:val="auto"/>
              </w:rPr>
            </w:pPr>
          </w:p>
        </w:tc>
        <w:tc>
          <w:tcPr>
            <w:tcW w:w="2020" w:type="dxa"/>
            <w:vAlign w:val="bottom"/>
          </w:tcPr>
          <w:p>
            <w:pPr>
              <w:ind w:left="260"/>
              <w:spacing w:after="0"/>
              <w:rPr>
                <w:sz w:val="20"/>
                <w:szCs w:val="20"/>
                <w:color w:val="auto"/>
              </w:rPr>
            </w:pPr>
            <w:r>
              <w:rPr>
                <w:rFonts w:ascii="Arial" w:cs="Arial" w:eastAsia="Arial" w:hAnsi="Arial"/>
                <w:sz w:val="13"/>
                <w:szCs w:val="13"/>
                <w:color w:val="auto"/>
              </w:rPr>
              <w:t xml:space="preserve">Non-accelerated Filer </w:t>
            </w:r>
            <w:r>
              <w:rPr>
                <w:rFonts w:ascii="Wingdings" w:cs="Wingdings" w:eastAsia="Wingdings" w:hAnsi="Wingdings"/>
                <w:sz w:val="14"/>
                <w:szCs w:val="14"/>
                <w:b w:val="1"/>
                <w:bCs w:val="1"/>
                <w:color w:val="auto"/>
              </w:rPr>
              <w:t>x</w:t>
            </w:r>
          </w:p>
        </w:tc>
        <w:tc>
          <w:tcPr>
            <w:tcW w:w="1400" w:type="dxa"/>
            <w:vAlign w:val="bottom"/>
          </w:tcPr>
          <w:p>
            <w:pPr>
              <w:jc w:val="right"/>
              <w:spacing w:after="0"/>
              <w:rPr>
                <w:sz w:val="20"/>
                <w:szCs w:val="20"/>
                <w:color w:val="auto"/>
              </w:rPr>
            </w:pPr>
            <w:r>
              <w:rPr>
                <w:rFonts w:ascii="Arial" w:cs="Arial" w:eastAsia="Arial" w:hAnsi="Arial"/>
                <w:sz w:val="13"/>
                <w:szCs w:val="13"/>
                <w:color w:val="auto"/>
              </w:rPr>
              <w:t>Company</w:t>
            </w:r>
          </w:p>
        </w:tc>
        <w:tc>
          <w:tcPr>
            <w:tcW w:w="440" w:type="dxa"/>
            <w:vAlign w:val="bottom"/>
            <w:vMerge w:val="continue"/>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Company</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42"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7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each registrant’s common stock as of April 30, 2026 was as follows:</w:t>
      </w: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ind w:left="20"/>
              <w:spacing w:after="0"/>
              <w:rPr>
                <w:sz w:val="20"/>
                <w:szCs w:val="20"/>
                <w:color w:val="auto"/>
              </w:rPr>
            </w:pPr>
            <w:r>
              <w:rPr>
                <w:rFonts w:ascii="Arial" w:cs="Arial" w:eastAsia="Arial" w:hAnsi="Arial"/>
                <w:sz w:val="14"/>
                <w:szCs w:val="14"/>
                <w:color w:val="auto"/>
              </w:rPr>
              <w:t>Constellation Energy Corporation Common Stock, without par value</w:t>
            </w:r>
          </w:p>
        </w:tc>
        <w:tc>
          <w:tcPr>
            <w:tcW w:w="3920" w:type="dxa"/>
            <w:vAlign w:val="bottom"/>
          </w:tcPr>
          <w:p>
            <w:pPr>
              <w:jc w:val="right"/>
              <w:spacing w:after="0"/>
              <w:rPr>
                <w:sz w:val="20"/>
                <w:szCs w:val="20"/>
                <w:color w:val="auto"/>
              </w:rPr>
            </w:pPr>
            <w:r>
              <w:rPr>
                <w:rFonts w:ascii="Arial" w:cs="Arial" w:eastAsia="Arial" w:hAnsi="Arial"/>
                <w:sz w:val="14"/>
                <w:szCs w:val="14"/>
                <w:color w:val="auto"/>
              </w:rPr>
              <w:t>361,190,063</w:t>
            </w:r>
          </w:p>
        </w:tc>
      </w:tr>
      <w:tr>
        <w:trPr>
          <w:trHeight w:val="203"/>
        </w:trPr>
        <w:tc>
          <w:tcPr>
            <w:tcW w:w="7320" w:type="dxa"/>
            <w:vAlign w:val="bottom"/>
          </w:tcPr>
          <w:p>
            <w:pPr>
              <w:ind w:left="20"/>
              <w:spacing w:after="0"/>
              <w:rPr>
                <w:sz w:val="20"/>
                <w:szCs w:val="20"/>
                <w:color w:val="auto"/>
              </w:rPr>
            </w:pPr>
            <w:r>
              <w:rPr>
                <w:rFonts w:ascii="Arial" w:cs="Arial" w:eastAsia="Arial" w:hAnsi="Arial"/>
                <w:sz w:val="14"/>
                <w:szCs w:val="14"/>
                <w:color w:val="auto"/>
              </w:rPr>
              <w:t>Constellation Energy Generation, LLC</w:t>
            </w:r>
          </w:p>
        </w:tc>
        <w:tc>
          <w:tcPr>
            <w:tcW w:w="3920" w:type="dxa"/>
            <w:vAlign w:val="bottom"/>
          </w:tcPr>
          <w:p>
            <w:pPr>
              <w:jc w:val="center"/>
              <w:ind w:left="2908"/>
              <w:spacing w:after="0"/>
              <w:rPr>
                <w:sz w:val="20"/>
                <w:szCs w:val="20"/>
                <w:color w:val="auto"/>
              </w:rPr>
            </w:pPr>
            <w:r>
              <w:rPr>
                <w:rFonts w:ascii="Arial" w:cs="Arial" w:eastAsia="Arial" w:hAnsi="Arial"/>
                <w:sz w:val="14"/>
                <w:szCs w:val="14"/>
                <w:color w:val="auto"/>
              </w:rPr>
              <w:t>Not applicable</w:t>
            </w:r>
          </w:p>
        </w:tc>
      </w:tr>
      <w:tr>
        <w:trPr>
          <w:trHeight w:val="1905"/>
        </w:trPr>
        <w:tc>
          <w:tcPr>
            <w:tcW w:w="73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 w:name="page2"/>
    <w:bookmarkEnd w:id="1"/>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gridSpan w:val="6"/>
          </w:tcPr>
          <w:p>
            <w:pPr>
              <w:spacing w:after="0"/>
              <w:rPr>
                <w:sz w:val="20"/>
                <w:szCs w:val="20"/>
                <w:color w:val="auto"/>
              </w:rPr>
            </w:pPr>
            <w:r>
              <w:rPr>
                <w:rFonts w:ascii="Arial" w:cs="Arial" w:eastAsia="Arial" w:hAnsi="Arial"/>
                <w:sz w:val="16"/>
                <w:szCs w:val="16"/>
                <w:b w:val="1"/>
                <w:bCs w:val="1"/>
                <w:color w:val="auto"/>
              </w:rPr>
              <w:t>TABLE OF CONTENTS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9980" w:type="dxa"/>
            <w:vAlign w:val="bottom"/>
            <w:gridSpan w:val="30"/>
            <w:vMerge w:val="restart"/>
          </w:tcPr>
          <w:p>
            <w:pPr>
              <w:spacing w:after="0"/>
              <w:rPr>
                <w:sz w:val="20"/>
                <w:szCs w:val="20"/>
                <w:color w:val="auto"/>
              </w:rPr>
            </w:pPr>
            <w:r>
              <w:rPr>
                <w:rFonts w:ascii="Arial" w:cs="Arial" w:eastAsia="Arial" w:hAnsi="Arial"/>
                <w:sz w:val="16"/>
                <w:szCs w:val="16"/>
                <w:b w:val="1"/>
                <w:bCs w:val="1"/>
                <w:color w:val="0000FF"/>
              </w:rPr>
              <w:t>GLOSSARY OF TERMS AND ABBREVIATIONS</w:t>
            </w:r>
          </w:p>
        </w:tc>
        <w:tc>
          <w:tcPr>
            <w:tcW w:w="124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980" w:type="dxa"/>
            <w:vAlign w:val="bottom"/>
            <w:gridSpan w:val="30"/>
            <w:vMerge w:val="continue"/>
          </w:tcPr>
          <w:p>
            <w:pPr>
              <w:spacing w:after="0"/>
              <w:rPr>
                <w:sz w:val="13"/>
                <w:szCs w:val="13"/>
                <w:color w:val="auto"/>
              </w:rPr>
            </w:pPr>
          </w:p>
        </w:tc>
        <w:tc>
          <w:tcPr>
            <w:tcW w:w="1220" w:type="dxa"/>
            <w:vAlign w:val="bottom"/>
            <w:gridSpan w:val="3"/>
          </w:tcPr>
          <w:p>
            <w:pPr>
              <w:jc w:val="right"/>
              <w:spacing w:after="0" w:line="142" w:lineRule="exact"/>
              <w:rPr>
                <w:sz w:val="20"/>
                <w:szCs w:val="20"/>
                <w:color w:val="auto"/>
              </w:rPr>
            </w:pPr>
            <w:r>
              <w:rPr>
                <w:rFonts w:ascii="Arial" w:cs="Arial" w:eastAsia="Arial" w:hAnsi="Arial"/>
                <w:sz w:val="16"/>
                <w:szCs w:val="16"/>
                <w:color w:val="0000FF"/>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7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gridSpan w:val="5"/>
          </w:tcPr>
          <w:p>
            <w:pPr>
              <w:spacing w:after="0"/>
              <w:rPr>
                <w:sz w:val="20"/>
                <w:szCs w:val="20"/>
                <w:color w:val="auto"/>
              </w:rPr>
            </w:pPr>
            <w:r>
              <w:rPr>
                <w:rFonts w:ascii="Arial" w:cs="Arial" w:eastAsia="Arial" w:hAnsi="Arial"/>
                <w:sz w:val="16"/>
                <w:szCs w:val="16"/>
                <w:b w:val="1"/>
                <w:bCs w:val="1"/>
                <w:color w:val="0000FF"/>
              </w:rPr>
              <w:t>FILING FORMAT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28"/>
          </w:tcPr>
          <w:p>
            <w:pPr>
              <w:spacing w:after="0"/>
              <w:rPr>
                <w:sz w:val="20"/>
                <w:szCs w:val="20"/>
                <w:color w:val="auto"/>
              </w:rPr>
            </w:pPr>
            <w:r>
              <w:rPr>
                <w:rFonts w:ascii="Arial" w:cs="Arial" w:eastAsia="Arial" w:hAnsi="Arial"/>
                <w:sz w:val="16"/>
                <w:szCs w:val="16"/>
                <w:b w:val="1"/>
                <w:bCs w:val="1"/>
                <w:color w:val="0000FF"/>
              </w:rPr>
              <w:t>CAUTIONARY STATEMENTS REGARDING FORWARD-LOOKING INFORMATION</w:t>
            </w:r>
          </w:p>
        </w:tc>
        <w:tc>
          <w:tcPr>
            <w:tcW w:w="3880" w:type="dxa"/>
            <w:vAlign w:val="bottom"/>
            <w:gridSpan w:val="2"/>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28"/>
          </w:tcPr>
          <w:p>
            <w:pPr>
              <w:spacing w:after="0"/>
              <w:rPr>
                <w:sz w:val="20"/>
                <w:szCs w:val="20"/>
                <w:color w:val="auto"/>
              </w:rPr>
            </w:pPr>
            <w:r>
              <w:rPr>
                <w:rFonts w:ascii="Arial" w:cs="Arial" w:eastAsia="Arial" w:hAnsi="Arial"/>
                <w:sz w:val="16"/>
                <w:szCs w:val="16"/>
                <w:b w:val="1"/>
                <w:bCs w:val="1"/>
                <w:color w:val="0000FF"/>
              </w:rPr>
              <w:t>AVAILABLE INFORMATION</w:t>
            </w:r>
          </w:p>
        </w:tc>
        <w:tc>
          <w:tcPr>
            <w:tcW w:w="3880" w:type="dxa"/>
            <w:vAlign w:val="bottom"/>
            <w:gridSpan w:val="2"/>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0000FF"/>
              </w:rPr>
              <w:t>PART I</w:t>
            </w:r>
          </w:p>
        </w:tc>
        <w:tc>
          <w:tcPr>
            <w:tcW w:w="8720" w:type="dxa"/>
            <w:vAlign w:val="bottom"/>
            <w:gridSpan w:val="28"/>
          </w:tcPr>
          <w:p>
            <w:pPr>
              <w:spacing w:after="0"/>
              <w:rPr>
                <w:sz w:val="20"/>
                <w:szCs w:val="20"/>
                <w:color w:val="auto"/>
              </w:rPr>
            </w:pPr>
            <w:r>
              <w:rPr>
                <w:rFonts w:ascii="Arial" w:cs="Arial" w:eastAsia="Arial" w:hAnsi="Arial"/>
                <w:sz w:val="16"/>
                <w:szCs w:val="16"/>
                <w:b w:val="1"/>
                <w:bCs w:val="1"/>
                <w:color w:val="0000FF"/>
              </w:rPr>
              <w:t>FINANCIAL INFORMATION</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Arial" w:cs="Arial" w:eastAsia="Arial" w:hAnsi="Arial"/>
                <w:sz w:val="16"/>
                <w:szCs w:val="16"/>
                <w:b w:val="1"/>
                <w:bCs w:val="1"/>
                <w:color w:val="0000FF"/>
                <w:w w:val="85"/>
              </w:rPr>
              <w:t>ITEM 1.</w:t>
            </w:r>
          </w:p>
        </w:tc>
        <w:tc>
          <w:tcPr>
            <w:tcW w:w="740" w:type="dxa"/>
            <w:vAlign w:val="bottom"/>
          </w:tcPr>
          <w:p>
            <w:pPr>
              <w:spacing w:after="0"/>
              <w:rPr>
                <w:sz w:val="17"/>
                <w:szCs w:val="17"/>
                <w:color w:val="auto"/>
              </w:rPr>
            </w:pPr>
          </w:p>
        </w:tc>
        <w:tc>
          <w:tcPr>
            <w:tcW w:w="2000" w:type="dxa"/>
            <w:vAlign w:val="bottom"/>
            <w:gridSpan w:val="8"/>
          </w:tcPr>
          <w:p>
            <w:pPr>
              <w:spacing w:after="0"/>
              <w:rPr>
                <w:sz w:val="20"/>
                <w:szCs w:val="20"/>
                <w:color w:val="auto"/>
              </w:rPr>
            </w:pPr>
            <w:r>
              <w:rPr>
                <w:rFonts w:ascii="Arial" w:cs="Arial" w:eastAsia="Arial" w:hAnsi="Arial"/>
                <w:sz w:val="16"/>
                <w:szCs w:val="16"/>
                <w:b w:val="1"/>
                <w:bCs w:val="1"/>
                <w:color w:val="0000FF"/>
                <w:w w:val="98"/>
              </w:rPr>
              <w:t>FINANCIAL STATEMENTS</w:t>
            </w:r>
          </w:p>
        </w:tc>
        <w:tc>
          <w:tcPr>
            <w:tcW w:w="6720" w:type="dxa"/>
            <w:vAlign w:val="bottom"/>
            <w:gridSpan w:val="20"/>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Borders>
              <w:left w:val="single" w:sz="8" w:color="0000FF"/>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20" w:type="dxa"/>
            <w:vAlign w:val="bottom"/>
            <w:gridSpan w:val="27"/>
          </w:tcPr>
          <w:p>
            <w:pPr>
              <w:spacing w:after="0"/>
              <w:rPr>
                <w:sz w:val="20"/>
                <w:szCs w:val="20"/>
                <w:color w:val="auto"/>
              </w:rPr>
            </w:pPr>
            <w:r>
              <w:rPr>
                <w:rFonts w:ascii="Arial" w:cs="Arial" w:eastAsia="Arial" w:hAnsi="Arial"/>
                <w:sz w:val="16"/>
                <w:szCs w:val="16"/>
                <w:b w:val="1"/>
                <w:bCs w:val="1"/>
                <w:color w:val="0000FF"/>
              </w:rPr>
              <w:t>Constellation Energy Corporation</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00" w:type="dxa"/>
            <w:vAlign w:val="bottom"/>
            <w:gridSpan w:val="25"/>
          </w:tcPr>
          <w:p>
            <w:pPr>
              <w:spacing w:after="0"/>
              <w:rPr>
                <w:sz w:val="20"/>
                <w:szCs w:val="20"/>
                <w:color w:val="auto"/>
              </w:rPr>
            </w:pPr>
            <w:r>
              <w:rPr>
                <w:rFonts w:ascii="Arial" w:cs="Arial" w:eastAsia="Arial" w:hAnsi="Arial"/>
                <w:sz w:val="16"/>
                <w:szCs w:val="16"/>
                <w:color w:val="0000FF"/>
              </w:rPr>
              <w:t>Consolidated Statements of Operations and Comprehensive Income</w:t>
            </w:r>
          </w:p>
        </w:tc>
        <w:tc>
          <w:tcPr>
            <w:tcW w:w="35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18"/>
          </w:tcPr>
          <w:p>
            <w:pPr>
              <w:spacing w:after="0"/>
              <w:rPr>
                <w:sz w:val="20"/>
                <w:szCs w:val="20"/>
                <w:color w:val="auto"/>
              </w:rPr>
            </w:pPr>
            <w:r>
              <w:rPr>
                <w:rFonts w:ascii="Arial" w:cs="Arial" w:eastAsia="Arial" w:hAnsi="Arial"/>
                <w:sz w:val="16"/>
                <w:szCs w:val="16"/>
                <w:color w:val="0000FF"/>
              </w:rPr>
              <w:t>Consolidated Statements of Cash Flows</w:t>
            </w:r>
          </w:p>
        </w:tc>
        <w:tc>
          <w:tcPr>
            <w:tcW w:w="2020" w:type="dxa"/>
            <w:vAlign w:val="bottom"/>
            <w:gridSpan w:val="7"/>
          </w:tcPr>
          <w:p>
            <w:pPr>
              <w:spacing w:after="0"/>
              <w:rPr>
                <w:sz w:val="17"/>
                <w:szCs w:val="17"/>
                <w:color w:val="auto"/>
              </w:rPr>
            </w:pPr>
          </w:p>
        </w:tc>
        <w:tc>
          <w:tcPr>
            <w:tcW w:w="35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18"/>
          </w:tcPr>
          <w:p>
            <w:pPr>
              <w:spacing w:after="0"/>
              <w:rPr>
                <w:sz w:val="20"/>
                <w:szCs w:val="20"/>
                <w:color w:val="auto"/>
              </w:rPr>
            </w:pPr>
            <w:r>
              <w:rPr>
                <w:rFonts w:ascii="Arial" w:cs="Arial" w:eastAsia="Arial" w:hAnsi="Arial"/>
                <w:sz w:val="16"/>
                <w:szCs w:val="16"/>
                <w:color w:val="0000FF"/>
              </w:rPr>
              <w:t>Consolidated Balance Sheets</w:t>
            </w:r>
          </w:p>
        </w:tc>
        <w:tc>
          <w:tcPr>
            <w:tcW w:w="5540" w:type="dxa"/>
            <w:vAlign w:val="bottom"/>
            <w:gridSpan w:val="8"/>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20" w:type="dxa"/>
            <w:vAlign w:val="bottom"/>
            <w:gridSpan w:val="26"/>
          </w:tcPr>
          <w:p>
            <w:pPr>
              <w:spacing w:after="0"/>
              <w:rPr>
                <w:sz w:val="20"/>
                <w:szCs w:val="20"/>
                <w:color w:val="auto"/>
              </w:rPr>
            </w:pPr>
            <w:r>
              <w:rPr>
                <w:rFonts w:ascii="Arial" w:cs="Arial" w:eastAsia="Arial" w:hAnsi="Arial"/>
                <w:sz w:val="16"/>
                <w:szCs w:val="16"/>
                <w:color w:val="0000FF"/>
              </w:rPr>
              <w:t>Consolidated Statements of Changes in Equity</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20" w:type="dxa"/>
            <w:vAlign w:val="bottom"/>
            <w:gridSpan w:val="27"/>
          </w:tcPr>
          <w:p>
            <w:pPr>
              <w:spacing w:after="0"/>
              <w:rPr>
                <w:sz w:val="20"/>
                <w:szCs w:val="20"/>
                <w:color w:val="auto"/>
              </w:rPr>
            </w:pPr>
            <w:r>
              <w:rPr>
                <w:rFonts w:ascii="Arial" w:cs="Arial" w:eastAsia="Arial" w:hAnsi="Arial"/>
                <w:sz w:val="16"/>
                <w:szCs w:val="16"/>
                <w:b w:val="1"/>
                <w:bCs w:val="1"/>
                <w:color w:val="0000FF"/>
              </w:rPr>
              <w:t>Constellation Energy Generation, LLC</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00" w:type="dxa"/>
            <w:vAlign w:val="bottom"/>
            <w:gridSpan w:val="25"/>
          </w:tcPr>
          <w:p>
            <w:pPr>
              <w:spacing w:after="0"/>
              <w:rPr>
                <w:sz w:val="20"/>
                <w:szCs w:val="20"/>
                <w:color w:val="auto"/>
              </w:rPr>
            </w:pPr>
            <w:r>
              <w:rPr>
                <w:rFonts w:ascii="Arial" w:cs="Arial" w:eastAsia="Arial" w:hAnsi="Arial"/>
                <w:sz w:val="16"/>
                <w:szCs w:val="16"/>
                <w:color w:val="0000FF"/>
              </w:rPr>
              <w:t>Consolidated Statements of Operations and Comprehensive Income</w:t>
            </w:r>
          </w:p>
        </w:tc>
        <w:tc>
          <w:tcPr>
            <w:tcW w:w="35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Consolidated Statements of Cash Flows</w:t>
            </w:r>
          </w:p>
        </w:tc>
        <w:tc>
          <w:tcPr>
            <w:tcW w:w="2020" w:type="dxa"/>
            <w:vAlign w:val="bottom"/>
            <w:gridSpan w:val="7"/>
          </w:tcPr>
          <w:p>
            <w:pPr>
              <w:spacing w:after="0"/>
              <w:rPr>
                <w:sz w:val="17"/>
                <w:szCs w:val="17"/>
                <w:color w:val="auto"/>
              </w:rPr>
            </w:pPr>
          </w:p>
        </w:tc>
        <w:tc>
          <w:tcPr>
            <w:tcW w:w="3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20" w:type="dxa"/>
            <w:vAlign w:val="bottom"/>
            <w:gridSpan w:val="26"/>
          </w:tcPr>
          <w:p>
            <w:pPr>
              <w:spacing w:after="0"/>
              <w:rPr>
                <w:sz w:val="20"/>
                <w:szCs w:val="20"/>
                <w:color w:val="auto"/>
              </w:rPr>
            </w:pPr>
            <w:r>
              <w:rPr>
                <w:rFonts w:ascii="Arial" w:cs="Arial" w:eastAsia="Arial" w:hAnsi="Arial"/>
                <w:sz w:val="16"/>
                <w:szCs w:val="16"/>
                <w:color w:val="0000FF"/>
              </w:rPr>
              <w:t>Consolidated Balance Sheets</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20" w:type="dxa"/>
            <w:vAlign w:val="bottom"/>
            <w:gridSpan w:val="26"/>
          </w:tcPr>
          <w:p>
            <w:pPr>
              <w:spacing w:after="0"/>
              <w:rPr>
                <w:sz w:val="20"/>
                <w:szCs w:val="20"/>
                <w:color w:val="auto"/>
              </w:rPr>
            </w:pPr>
            <w:r>
              <w:rPr>
                <w:rFonts w:ascii="Arial" w:cs="Arial" w:eastAsia="Arial" w:hAnsi="Arial"/>
                <w:sz w:val="16"/>
                <w:szCs w:val="16"/>
                <w:color w:val="0000FF"/>
              </w:rPr>
              <w:t>Consolidated Statements of Changes in Equity</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b w:val="1"/>
                <w:bCs w:val="1"/>
                <w:color w:val="0000FF"/>
              </w:rPr>
              <w:t>Combined Notes to Consolidated Financial Statements</w:t>
            </w:r>
          </w:p>
        </w:tc>
        <w:tc>
          <w:tcPr>
            <w:tcW w:w="440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3"/>
          </w:tcPr>
          <w:p>
            <w:pPr>
              <w:ind w:left="300"/>
              <w:spacing w:after="0"/>
              <w:rPr>
                <w:sz w:val="20"/>
                <w:szCs w:val="20"/>
                <w:color w:val="auto"/>
              </w:rPr>
            </w:pPr>
            <w:r>
              <w:rPr>
                <w:rFonts w:ascii="Arial" w:cs="Arial" w:eastAsia="Arial" w:hAnsi="Arial"/>
                <w:sz w:val="16"/>
                <w:szCs w:val="16"/>
                <w:color w:val="0000FF"/>
              </w:rPr>
              <w:t>1.</w:t>
            </w:r>
          </w:p>
        </w:tc>
        <w:tc>
          <w:tcPr>
            <w:tcW w:w="8240" w:type="dxa"/>
            <w:vAlign w:val="bottom"/>
            <w:gridSpan w:val="25"/>
          </w:tcPr>
          <w:p>
            <w:pPr>
              <w:spacing w:after="0"/>
              <w:rPr>
                <w:sz w:val="20"/>
                <w:szCs w:val="20"/>
                <w:color w:val="auto"/>
              </w:rPr>
            </w:pPr>
            <w:r>
              <w:rPr>
                <w:rFonts w:ascii="Arial" w:cs="Arial" w:eastAsia="Arial" w:hAnsi="Arial"/>
                <w:sz w:val="16"/>
                <w:szCs w:val="16"/>
                <w:color w:val="0000FF"/>
              </w:rPr>
              <w:t>Basis of Presentation</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3"/>
          </w:tcPr>
          <w:p>
            <w:pPr>
              <w:ind w:left="300"/>
              <w:spacing w:after="0"/>
              <w:rPr>
                <w:sz w:val="20"/>
                <w:szCs w:val="20"/>
                <w:color w:val="auto"/>
              </w:rPr>
            </w:pPr>
            <w:r>
              <w:rPr>
                <w:rFonts w:ascii="Arial" w:cs="Arial" w:eastAsia="Arial" w:hAnsi="Arial"/>
                <w:sz w:val="16"/>
                <w:szCs w:val="16"/>
                <w:color w:val="0000FF"/>
              </w:rPr>
              <w:t>2.</w:t>
            </w:r>
          </w:p>
        </w:tc>
        <w:tc>
          <w:tcPr>
            <w:tcW w:w="8240" w:type="dxa"/>
            <w:vAlign w:val="bottom"/>
            <w:gridSpan w:val="25"/>
          </w:tcPr>
          <w:p>
            <w:pPr>
              <w:spacing w:after="0"/>
              <w:rPr>
                <w:sz w:val="20"/>
                <w:szCs w:val="20"/>
                <w:color w:val="auto"/>
              </w:rPr>
            </w:pPr>
            <w:r>
              <w:rPr>
                <w:rFonts w:ascii="Arial" w:cs="Arial" w:eastAsia="Arial" w:hAnsi="Arial"/>
                <w:sz w:val="16"/>
                <w:szCs w:val="16"/>
                <w:color w:val="0000FF"/>
              </w:rPr>
              <w:t>Mergers, Acquisitions, and Dispositions</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3"/>
          </w:tcPr>
          <w:p>
            <w:pPr>
              <w:ind w:left="300"/>
              <w:spacing w:after="0"/>
              <w:rPr>
                <w:sz w:val="20"/>
                <w:szCs w:val="20"/>
                <w:color w:val="auto"/>
              </w:rPr>
            </w:pPr>
            <w:r>
              <w:rPr>
                <w:rFonts w:ascii="Arial" w:cs="Arial" w:eastAsia="Arial" w:hAnsi="Arial"/>
                <w:sz w:val="16"/>
                <w:szCs w:val="16"/>
                <w:color w:val="0000FF"/>
              </w:rPr>
              <w:t>3.</w:t>
            </w:r>
          </w:p>
        </w:tc>
        <w:tc>
          <w:tcPr>
            <w:tcW w:w="8240" w:type="dxa"/>
            <w:vAlign w:val="bottom"/>
            <w:gridSpan w:val="25"/>
          </w:tcPr>
          <w:p>
            <w:pPr>
              <w:spacing w:after="0"/>
              <w:rPr>
                <w:sz w:val="20"/>
                <w:szCs w:val="20"/>
                <w:color w:val="auto"/>
              </w:rPr>
            </w:pPr>
            <w:r>
              <w:rPr>
                <w:rFonts w:ascii="Arial" w:cs="Arial" w:eastAsia="Arial" w:hAnsi="Arial"/>
                <w:sz w:val="16"/>
                <w:szCs w:val="16"/>
                <w:color w:val="0000FF"/>
              </w:rPr>
              <w:t>Regulatory Matters</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3"/>
          </w:tcPr>
          <w:p>
            <w:pPr>
              <w:ind w:left="300"/>
              <w:spacing w:after="0"/>
              <w:rPr>
                <w:sz w:val="20"/>
                <w:szCs w:val="20"/>
                <w:color w:val="auto"/>
              </w:rPr>
            </w:pPr>
            <w:r>
              <w:rPr>
                <w:rFonts w:ascii="Arial" w:cs="Arial" w:eastAsia="Arial" w:hAnsi="Arial"/>
                <w:sz w:val="16"/>
                <w:szCs w:val="16"/>
                <w:color w:val="0000FF"/>
              </w:rPr>
              <w:t>4.</w:t>
            </w:r>
          </w:p>
        </w:tc>
        <w:tc>
          <w:tcPr>
            <w:tcW w:w="8240" w:type="dxa"/>
            <w:vAlign w:val="bottom"/>
            <w:gridSpan w:val="25"/>
          </w:tcPr>
          <w:p>
            <w:pPr>
              <w:spacing w:after="0"/>
              <w:rPr>
                <w:sz w:val="20"/>
                <w:szCs w:val="20"/>
                <w:color w:val="auto"/>
              </w:rPr>
            </w:pPr>
            <w:r>
              <w:rPr>
                <w:rFonts w:ascii="Arial" w:cs="Arial" w:eastAsia="Arial" w:hAnsi="Arial"/>
                <w:sz w:val="16"/>
                <w:szCs w:val="16"/>
                <w:color w:val="0000FF"/>
              </w:rPr>
              <w:t>Revenue from Contracts with Customers</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3"/>
          </w:tcPr>
          <w:p>
            <w:pPr>
              <w:ind w:left="300"/>
              <w:spacing w:after="0"/>
              <w:rPr>
                <w:sz w:val="20"/>
                <w:szCs w:val="20"/>
                <w:color w:val="auto"/>
              </w:rPr>
            </w:pPr>
            <w:r>
              <w:rPr>
                <w:rFonts w:ascii="Arial" w:cs="Arial" w:eastAsia="Arial" w:hAnsi="Arial"/>
                <w:sz w:val="16"/>
                <w:szCs w:val="16"/>
                <w:color w:val="0000FF"/>
              </w:rPr>
              <w:t>5.</w:t>
            </w:r>
          </w:p>
        </w:tc>
        <w:tc>
          <w:tcPr>
            <w:tcW w:w="8240" w:type="dxa"/>
            <w:vAlign w:val="bottom"/>
            <w:gridSpan w:val="25"/>
          </w:tcPr>
          <w:p>
            <w:pPr>
              <w:spacing w:after="0"/>
              <w:rPr>
                <w:sz w:val="20"/>
                <w:szCs w:val="20"/>
                <w:color w:val="auto"/>
              </w:rPr>
            </w:pPr>
            <w:r>
              <w:rPr>
                <w:rFonts w:ascii="Arial" w:cs="Arial" w:eastAsia="Arial" w:hAnsi="Arial"/>
                <w:sz w:val="16"/>
                <w:szCs w:val="16"/>
                <w:color w:val="0000FF"/>
              </w:rPr>
              <w:t>Segment Information</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3"/>
          </w:tcPr>
          <w:p>
            <w:pPr>
              <w:ind w:left="300"/>
              <w:spacing w:after="0"/>
              <w:rPr>
                <w:sz w:val="20"/>
                <w:szCs w:val="20"/>
                <w:color w:val="auto"/>
              </w:rPr>
            </w:pPr>
            <w:r>
              <w:rPr>
                <w:rFonts w:ascii="Arial" w:cs="Arial" w:eastAsia="Arial" w:hAnsi="Arial"/>
                <w:sz w:val="16"/>
                <w:szCs w:val="16"/>
                <w:color w:val="0000FF"/>
              </w:rPr>
              <w:t>6.</w:t>
            </w:r>
          </w:p>
        </w:tc>
        <w:tc>
          <w:tcPr>
            <w:tcW w:w="8240" w:type="dxa"/>
            <w:vAlign w:val="bottom"/>
            <w:gridSpan w:val="25"/>
          </w:tcPr>
          <w:p>
            <w:pPr>
              <w:spacing w:after="0"/>
              <w:rPr>
                <w:sz w:val="20"/>
                <w:szCs w:val="20"/>
                <w:color w:val="auto"/>
              </w:rPr>
            </w:pPr>
            <w:r>
              <w:rPr>
                <w:rFonts w:ascii="Arial" w:cs="Arial" w:eastAsia="Arial" w:hAnsi="Arial"/>
                <w:sz w:val="16"/>
                <w:szCs w:val="16"/>
                <w:color w:val="0000FF"/>
              </w:rPr>
              <w:t>Government Assistance</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3"/>
          </w:tcPr>
          <w:p>
            <w:pPr>
              <w:ind w:left="300"/>
              <w:spacing w:after="0"/>
              <w:rPr>
                <w:sz w:val="20"/>
                <w:szCs w:val="20"/>
                <w:color w:val="auto"/>
              </w:rPr>
            </w:pPr>
            <w:r>
              <w:rPr>
                <w:rFonts w:ascii="Arial" w:cs="Arial" w:eastAsia="Arial" w:hAnsi="Arial"/>
                <w:sz w:val="16"/>
                <w:szCs w:val="16"/>
                <w:color w:val="0000FF"/>
              </w:rPr>
              <w:t>7.</w:t>
            </w:r>
          </w:p>
        </w:tc>
        <w:tc>
          <w:tcPr>
            <w:tcW w:w="8240" w:type="dxa"/>
            <w:vAlign w:val="bottom"/>
            <w:gridSpan w:val="25"/>
          </w:tcPr>
          <w:p>
            <w:pPr>
              <w:spacing w:after="0"/>
              <w:rPr>
                <w:sz w:val="20"/>
                <w:szCs w:val="20"/>
                <w:color w:val="auto"/>
              </w:rPr>
            </w:pPr>
            <w:r>
              <w:rPr>
                <w:rFonts w:ascii="Arial" w:cs="Arial" w:eastAsia="Arial" w:hAnsi="Arial"/>
                <w:sz w:val="16"/>
                <w:szCs w:val="16"/>
                <w:color w:val="0000FF"/>
              </w:rPr>
              <w:t>Accounts Receivable</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3"/>
          </w:tcPr>
          <w:p>
            <w:pPr>
              <w:ind w:left="300"/>
              <w:spacing w:after="0"/>
              <w:rPr>
                <w:sz w:val="20"/>
                <w:szCs w:val="20"/>
                <w:color w:val="auto"/>
              </w:rPr>
            </w:pPr>
            <w:r>
              <w:rPr>
                <w:rFonts w:ascii="Arial" w:cs="Arial" w:eastAsia="Arial" w:hAnsi="Arial"/>
                <w:sz w:val="16"/>
                <w:szCs w:val="16"/>
                <w:color w:val="0000FF"/>
              </w:rPr>
              <w:t>8.</w:t>
            </w:r>
          </w:p>
        </w:tc>
        <w:tc>
          <w:tcPr>
            <w:tcW w:w="8240" w:type="dxa"/>
            <w:vAlign w:val="bottom"/>
            <w:gridSpan w:val="25"/>
          </w:tcPr>
          <w:p>
            <w:pPr>
              <w:spacing w:after="0"/>
              <w:rPr>
                <w:sz w:val="20"/>
                <w:szCs w:val="20"/>
                <w:color w:val="auto"/>
              </w:rPr>
            </w:pPr>
            <w:r>
              <w:rPr>
                <w:rFonts w:ascii="Arial" w:cs="Arial" w:eastAsia="Arial" w:hAnsi="Arial"/>
                <w:sz w:val="16"/>
                <w:szCs w:val="16"/>
                <w:color w:val="0000FF"/>
              </w:rPr>
              <w:t>Property, Plant, and Equipment</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3"/>
          </w:tcPr>
          <w:p>
            <w:pPr>
              <w:ind w:left="300"/>
              <w:spacing w:after="0"/>
              <w:rPr>
                <w:sz w:val="20"/>
                <w:szCs w:val="20"/>
                <w:color w:val="auto"/>
              </w:rPr>
            </w:pPr>
            <w:r>
              <w:rPr>
                <w:rFonts w:ascii="Arial" w:cs="Arial" w:eastAsia="Arial" w:hAnsi="Arial"/>
                <w:sz w:val="16"/>
                <w:szCs w:val="16"/>
                <w:color w:val="0000FF"/>
              </w:rPr>
              <w:t>9.</w:t>
            </w:r>
          </w:p>
        </w:tc>
        <w:tc>
          <w:tcPr>
            <w:tcW w:w="8240" w:type="dxa"/>
            <w:vAlign w:val="bottom"/>
            <w:gridSpan w:val="25"/>
          </w:tcPr>
          <w:p>
            <w:pPr>
              <w:spacing w:after="0"/>
              <w:rPr>
                <w:sz w:val="20"/>
                <w:szCs w:val="20"/>
                <w:color w:val="auto"/>
              </w:rPr>
            </w:pPr>
            <w:r>
              <w:rPr>
                <w:rFonts w:ascii="Arial" w:cs="Arial" w:eastAsia="Arial" w:hAnsi="Arial"/>
                <w:sz w:val="16"/>
                <w:szCs w:val="16"/>
                <w:color w:val="0000FF"/>
              </w:rPr>
              <w:t>Asset Retirement Obligations</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4"/>
          </w:tcPr>
          <w:p>
            <w:pPr>
              <w:ind w:left="300"/>
              <w:spacing w:after="0"/>
              <w:rPr>
                <w:sz w:val="20"/>
                <w:szCs w:val="20"/>
                <w:color w:val="auto"/>
              </w:rPr>
            </w:pPr>
            <w:r>
              <w:rPr>
                <w:rFonts w:ascii="Arial" w:cs="Arial" w:eastAsia="Arial" w:hAnsi="Arial"/>
                <w:sz w:val="16"/>
                <w:szCs w:val="16"/>
                <w:color w:val="0000FF"/>
                <w:w w:val="98"/>
              </w:rPr>
              <w:t>10.</w:t>
            </w:r>
          </w:p>
        </w:tc>
        <w:tc>
          <w:tcPr>
            <w:tcW w:w="8180" w:type="dxa"/>
            <w:vAlign w:val="bottom"/>
            <w:gridSpan w:val="24"/>
          </w:tcPr>
          <w:p>
            <w:pPr>
              <w:ind w:left="20"/>
              <w:spacing w:after="0"/>
              <w:rPr>
                <w:sz w:val="20"/>
                <w:szCs w:val="20"/>
                <w:color w:val="auto"/>
              </w:rPr>
            </w:pPr>
            <w:r>
              <w:rPr>
                <w:rFonts w:ascii="Arial" w:cs="Arial" w:eastAsia="Arial" w:hAnsi="Arial"/>
                <w:sz w:val="16"/>
                <w:szCs w:val="16"/>
                <w:color w:val="0000FF"/>
              </w:rPr>
              <w:t>Income Taxes</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9"/>
              </w:rPr>
              <w:t>11. Retirement Benefits</w:t>
            </w:r>
          </w:p>
        </w:tc>
        <w:tc>
          <w:tcPr>
            <w:tcW w:w="6720" w:type="dxa"/>
            <w:vAlign w:val="bottom"/>
            <w:gridSpan w:val="20"/>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4"/>
          </w:tcPr>
          <w:p>
            <w:pPr>
              <w:ind w:left="300"/>
              <w:spacing w:after="0"/>
              <w:rPr>
                <w:sz w:val="20"/>
                <w:szCs w:val="20"/>
                <w:color w:val="auto"/>
              </w:rPr>
            </w:pPr>
            <w:r>
              <w:rPr>
                <w:rFonts w:ascii="Arial" w:cs="Arial" w:eastAsia="Arial" w:hAnsi="Arial"/>
                <w:sz w:val="16"/>
                <w:szCs w:val="16"/>
                <w:color w:val="0000FF"/>
                <w:w w:val="98"/>
              </w:rPr>
              <w:t>12.</w:t>
            </w:r>
          </w:p>
        </w:tc>
        <w:tc>
          <w:tcPr>
            <w:tcW w:w="8180" w:type="dxa"/>
            <w:vAlign w:val="bottom"/>
            <w:gridSpan w:val="24"/>
          </w:tcPr>
          <w:p>
            <w:pPr>
              <w:ind w:left="20"/>
              <w:spacing w:after="0"/>
              <w:rPr>
                <w:sz w:val="20"/>
                <w:szCs w:val="20"/>
                <w:color w:val="auto"/>
              </w:rPr>
            </w:pPr>
            <w:r>
              <w:rPr>
                <w:rFonts w:ascii="Arial" w:cs="Arial" w:eastAsia="Arial" w:hAnsi="Arial"/>
                <w:sz w:val="16"/>
                <w:szCs w:val="16"/>
                <w:color w:val="0000FF"/>
              </w:rPr>
              <w:t>Derivative Financial Instruments</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4"/>
          </w:tcPr>
          <w:p>
            <w:pPr>
              <w:ind w:left="300"/>
              <w:spacing w:after="0"/>
              <w:rPr>
                <w:sz w:val="20"/>
                <w:szCs w:val="20"/>
                <w:color w:val="auto"/>
              </w:rPr>
            </w:pPr>
            <w:r>
              <w:rPr>
                <w:rFonts w:ascii="Arial" w:cs="Arial" w:eastAsia="Arial" w:hAnsi="Arial"/>
                <w:sz w:val="16"/>
                <w:szCs w:val="16"/>
                <w:color w:val="0000FF"/>
                <w:w w:val="98"/>
              </w:rPr>
              <w:t>13.</w:t>
            </w:r>
          </w:p>
        </w:tc>
        <w:tc>
          <w:tcPr>
            <w:tcW w:w="8180" w:type="dxa"/>
            <w:vAlign w:val="bottom"/>
            <w:gridSpan w:val="24"/>
          </w:tcPr>
          <w:p>
            <w:pPr>
              <w:ind w:left="20"/>
              <w:spacing w:after="0"/>
              <w:rPr>
                <w:sz w:val="20"/>
                <w:szCs w:val="20"/>
                <w:color w:val="auto"/>
              </w:rPr>
            </w:pPr>
            <w:r>
              <w:rPr>
                <w:rFonts w:ascii="Arial" w:cs="Arial" w:eastAsia="Arial" w:hAnsi="Arial"/>
                <w:sz w:val="16"/>
                <w:szCs w:val="16"/>
                <w:color w:val="0000FF"/>
              </w:rPr>
              <w:t>Debt and Credit Agreements</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4"/>
          </w:tcPr>
          <w:p>
            <w:pPr>
              <w:ind w:left="300"/>
              <w:spacing w:after="0"/>
              <w:rPr>
                <w:sz w:val="20"/>
                <w:szCs w:val="20"/>
                <w:color w:val="auto"/>
              </w:rPr>
            </w:pPr>
            <w:r>
              <w:rPr>
                <w:rFonts w:ascii="Arial" w:cs="Arial" w:eastAsia="Arial" w:hAnsi="Arial"/>
                <w:sz w:val="16"/>
                <w:szCs w:val="16"/>
                <w:color w:val="0000FF"/>
                <w:w w:val="98"/>
              </w:rPr>
              <w:t>14.</w:t>
            </w:r>
          </w:p>
        </w:tc>
        <w:tc>
          <w:tcPr>
            <w:tcW w:w="8180" w:type="dxa"/>
            <w:vAlign w:val="bottom"/>
            <w:gridSpan w:val="24"/>
          </w:tcPr>
          <w:p>
            <w:pPr>
              <w:ind w:left="20"/>
              <w:spacing w:after="0"/>
              <w:rPr>
                <w:sz w:val="20"/>
                <w:szCs w:val="20"/>
                <w:color w:val="auto"/>
              </w:rPr>
            </w:pPr>
            <w:r>
              <w:rPr>
                <w:rFonts w:ascii="Arial" w:cs="Arial" w:eastAsia="Arial" w:hAnsi="Arial"/>
                <w:sz w:val="16"/>
                <w:szCs w:val="16"/>
                <w:color w:val="0000FF"/>
              </w:rPr>
              <w:t>Fair Value of Financial Assets and Liabilities</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4"/>
          </w:tcPr>
          <w:p>
            <w:pPr>
              <w:ind w:left="300"/>
              <w:spacing w:after="0"/>
              <w:rPr>
                <w:sz w:val="20"/>
                <w:szCs w:val="20"/>
                <w:color w:val="auto"/>
              </w:rPr>
            </w:pPr>
            <w:r>
              <w:rPr>
                <w:rFonts w:ascii="Arial" w:cs="Arial" w:eastAsia="Arial" w:hAnsi="Arial"/>
                <w:sz w:val="16"/>
                <w:szCs w:val="16"/>
                <w:color w:val="0000FF"/>
                <w:w w:val="98"/>
              </w:rPr>
              <w:t>15.</w:t>
            </w:r>
          </w:p>
        </w:tc>
        <w:tc>
          <w:tcPr>
            <w:tcW w:w="8180" w:type="dxa"/>
            <w:vAlign w:val="bottom"/>
            <w:gridSpan w:val="24"/>
          </w:tcPr>
          <w:p>
            <w:pPr>
              <w:ind w:left="20"/>
              <w:spacing w:after="0"/>
              <w:rPr>
                <w:sz w:val="20"/>
                <w:szCs w:val="20"/>
                <w:color w:val="auto"/>
              </w:rPr>
            </w:pPr>
            <w:r>
              <w:rPr>
                <w:rFonts w:ascii="Arial" w:cs="Arial" w:eastAsia="Arial" w:hAnsi="Arial"/>
                <w:sz w:val="16"/>
                <w:szCs w:val="16"/>
                <w:color w:val="0000FF"/>
              </w:rPr>
              <w:t>Commitments and Contingencies</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4"/>
          </w:tcPr>
          <w:p>
            <w:pPr>
              <w:ind w:left="300"/>
              <w:spacing w:after="0"/>
              <w:rPr>
                <w:sz w:val="20"/>
                <w:szCs w:val="20"/>
                <w:color w:val="auto"/>
              </w:rPr>
            </w:pPr>
            <w:r>
              <w:rPr>
                <w:rFonts w:ascii="Arial" w:cs="Arial" w:eastAsia="Arial" w:hAnsi="Arial"/>
                <w:sz w:val="16"/>
                <w:szCs w:val="16"/>
                <w:color w:val="0000FF"/>
                <w:w w:val="98"/>
              </w:rPr>
              <w:t>16.</w:t>
            </w:r>
          </w:p>
        </w:tc>
        <w:tc>
          <w:tcPr>
            <w:tcW w:w="8180" w:type="dxa"/>
            <w:vAlign w:val="bottom"/>
            <w:gridSpan w:val="24"/>
          </w:tcPr>
          <w:p>
            <w:pPr>
              <w:ind w:left="20"/>
              <w:spacing w:after="0"/>
              <w:rPr>
                <w:sz w:val="20"/>
                <w:szCs w:val="20"/>
                <w:color w:val="auto"/>
              </w:rPr>
            </w:pPr>
            <w:r>
              <w:rPr>
                <w:rFonts w:ascii="Arial" w:cs="Arial" w:eastAsia="Arial" w:hAnsi="Arial"/>
                <w:sz w:val="16"/>
                <w:szCs w:val="16"/>
                <w:color w:val="0000FF"/>
              </w:rPr>
              <w:t>Shareholders' Equity</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4"/>
          </w:tcPr>
          <w:p>
            <w:pPr>
              <w:ind w:left="300"/>
              <w:spacing w:after="0"/>
              <w:rPr>
                <w:sz w:val="20"/>
                <w:szCs w:val="20"/>
                <w:color w:val="auto"/>
              </w:rPr>
            </w:pPr>
            <w:r>
              <w:rPr>
                <w:rFonts w:ascii="Arial" w:cs="Arial" w:eastAsia="Arial" w:hAnsi="Arial"/>
                <w:sz w:val="16"/>
                <w:szCs w:val="16"/>
                <w:color w:val="0000FF"/>
                <w:w w:val="98"/>
              </w:rPr>
              <w:t>17.</w:t>
            </w:r>
          </w:p>
        </w:tc>
        <w:tc>
          <w:tcPr>
            <w:tcW w:w="8180" w:type="dxa"/>
            <w:vAlign w:val="bottom"/>
            <w:gridSpan w:val="24"/>
          </w:tcPr>
          <w:p>
            <w:pPr>
              <w:ind w:left="20"/>
              <w:spacing w:after="0"/>
              <w:rPr>
                <w:sz w:val="20"/>
                <w:szCs w:val="20"/>
                <w:color w:val="auto"/>
              </w:rPr>
            </w:pPr>
            <w:r>
              <w:rPr>
                <w:rFonts w:ascii="Arial" w:cs="Arial" w:eastAsia="Arial" w:hAnsi="Arial"/>
                <w:sz w:val="16"/>
                <w:szCs w:val="16"/>
                <w:color w:val="0000FF"/>
              </w:rPr>
              <w:t>Variable Interest Entities</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780" w:type="dxa"/>
            <w:vAlign w:val="bottom"/>
            <w:gridSpan w:val="8"/>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4"/>
          </w:tcPr>
          <w:p>
            <w:pPr>
              <w:ind w:left="300"/>
              <w:spacing w:after="0"/>
              <w:rPr>
                <w:sz w:val="20"/>
                <w:szCs w:val="20"/>
                <w:color w:val="auto"/>
              </w:rPr>
            </w:pPr>
            <w:r>
              <w:rPr>
                <w:rFonts w:ascii="Arial" w:cs="Arial" w:eastAsia="Arial" w:hAnsi="Arial"/>
                <w:sz w:val="16"/>
                <w:szCs w:val="16"/>
                <w:color w:val="0000FF"/>
                <w:w w:val="98"/>
              </w:rPr>
              <w:t>18.</w:t>
            </w:r>
          </w:p>
        </w:tc>
        <w:tc>
          <w:tcPr>
            <w:tcW w:w="8180" w:type="dxa"/>
            <w:vAlign w:val="bottom"/>
            <w:gridSpan w:val="24"/>
          </w:tcPr>
          <w:p>
            <w:pPr>
              <w:ind w:left="20"/>
              <w:spacing w:after="0"/>
              <w:rPr>
                <w:sz w:val="20"/>
                <w:szCs w:val="20"/>
                <w:color w:val="auto"/>
              </w:rPr>
            </w:pPr>
            <w:r>
              <w:rPr>
                <w:rFonts w:ascii="Arial" w:cs="Arial" w:eastAsia="Arial" w:hAnsi="Arial"/>
                <w:sz w:val="16"/>
                <w:szCs w:val="16"/>
                <w:color w:val="0000FF"/>
              </w:rPr>
              <w:t>Supplemental Financial Information</w:t>
            </w:r>
          </w:p>
        </w:tc>
        <w:tc>
          <w:tcPr>
            <w:tcW w:w="1220" w:type="dxa"/>
            <w:vAlign w:val="bottom"/>
            <w:gridSpan w:val="3"/>
          </w:tcPr>
          <w:p>
            <w:pPr>
              <w:jc w:val="right"/>
              <w:spacing w:after="0"/>
              <w:rPr>
                <w:sz w:val="20"/>
                <w:szCs w:val="20"/>
                <w:color w:val="auto"/>
              </w:rPr>
            </w:pPr>
            <w:r>
              <w:rPr>
                <w:rFonts w:ascii="Arial" w:cs="Arial" w:eastAsia="Arial" w:hAnsi="Arial"/>
                <w:sz w:val="16"/>
                <w:szCs w:val="16"/>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8"/>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rPr>
              <w:t>ITEM 2.</w:t>
            </w:r>
          </w:p>
        </w:tc>
        <w:tc>
          <w:tcPr>
            <w:tcW w:w="640" w:type="dxa"/>
            <w:vAlign w:val="bottom"/>
            <w:gridSpan w:val="4"/>
          </w:tcPr>
          <w:p>
            <w:pPr>
              <w:spacing w:after="0"/>
              <w:rPr>
                <w:sz w:val="16"/>
                <w:szCs w:val="16"/>
                <w:color w:val="auto"/>
              </w:rPr>
            </w:pPr>
          </w:p>
        </w:tc>
        <w:tc>
          <w:tcPr>
            <w:tcW w:w="834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b w:val="1"/>
                <w:bCs w:val="1"/>
                <w:color w:val="0000FF"/>
              </w:rPr>
              <w:t>MANAGEMENT’S DISCUSSION AND ANALYSIS OF FINANCIAL CONDITION AND RESULTS OF OPERATIONS</w:t>
            </w:r>
          </w:p>
        </w:tc>
        <w:tc>
          <w:tcPr>
            <w:tcW w:w="1440" w:type="dxa"/>
            <w:vAlign w:val="bottom"/>
          </w:tcPr>
          <w:p>
            <w:pPr>
              <w:spacing w:after="0"/>
              <w:rPr>
                <w:sz w:val="16"/>
                <w:szCs w:val="16"/>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50</w:t>
            </w:r>
          </w:p>
        </w:tc>
        <w:tc>
          <w:tcPr>
            <w:tcW w:w="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Executive Overview</w:t>
            </w:r>
          </w:p>
        </w:tc>
        <w:tc>
          <w:tcPr>
            <w:tcW w:w="8140" w:type="dxa"/>
            <w:vAlign w:val="bottom"/>
            <w:gridSpan w:val="15"/>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50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Significant Transactions and Developments</w:t>
            </w:r>
          </w:p>
        </w:tc>
        <w:tc>
          <w:tcPr>
            <w:tcW w:w="6460" w:type="dxa"/>
            <w:vAlign w:val="bottom"/>
            <w:gridSpan w:val="4"/>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51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9"/>
              </w:rPr>
              <w:t>Other Key Business Drivers</w:t>
            </w:r>
          </w:p>
        </w:tc>
        <w:tc>
          <w:tcPr>
            <w:tcW w:w="7580" w:type="dxa"/>
            <w:vAlign w:val="bottom"/>
            <w:gridSpan w:val="12"/>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52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gridSpan w:val="19"/>
          </w:tcPr>
          <w:p>
            <w:pPr>
              <w:spacing w:after="0"/>
              <w:rPr>
                <w:sz w:val="20"/>
                <w:szCs w:val="20"/>
                <w:color w:val="auto"/>
              </w:rPr>
            </w:pPr>
            <w:r>
              <w:rPr>
                <w:rFonts w:ascii="Arial" w:cs="Arial" w:eastAsia="Arial" w:hAnsi="Arial"/>
                <w:sz w:val="16"/>
                <w:szCs w:val="16"/>
                <w:color w:val="0000FF"/>
              </w:rPr>
              <w:t>Critical Accounting Policies and Estimates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53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0000FF"/>
              </w:rPr>
              <w:t>Financial Results of Operations</w:t>
            </w:r>
          </w:p>
        </w:tc>
        <w:tc>
          <w:tcPr>
            <w:tcW w:w="6560" w:type="dxa"/>
            <w:vAlign w:val="bottom"/>
            <w:gridSpan w:val="5"/>
          </w:tcPr>
          <w:p>
            <w:pPr>
              <w:spacing w:after="0"/>
              <w:rPr>
                <w:sz w:val="17"/>
                <w:szCs w:val="17"/>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89"/>
              </w:rPr>
              <w:t>53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gridSpan w:val="19"/>
          </w:tcPr>
          <w:p>
            <w:pPr>
              <w:spacing w:after="0"/>
              <w:rPr>
                <w:sz w:val="20"/>
                <w:szCs w:val="20"/>
                <w:color w:val="auto"/>
              </w:rPr>
            </w:pPr>
            <w:r>
              <w:rPr>
                <w:rFonts w:ascii="Arial" w:cs="Arial" w:eastAsia="Arial" w:hAnsi="Arial"/>
                <w:sz w:val="16"/>
                <w:szCs w:val="16"/>
                <w:color w:val="0000FF"/>
              </w:rPr>
              <w:t>Liquidity and Capital Resources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64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0000FF"/>
              </w:rPr>
              <w:t>Properties</w:t>
            </w:r>
          </w:p>
        </w:tc>
        <w:tc>
          <w:tcPr>
            <w:tcW w:w="7300" w:type="dxa"/>
            <w:vAlign w:val="bottom"/>
            <w:gridSpan w:val="9"/>
          </w:tcPr>
          <w:p>
            <w:pPr>
              <w:spacing w:after="0"/>
              <w:rPr>
                <w:sz w:val="17"/>
                <w:szCs w:val="17"/>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89"/>
              </w:rPr>
              <w:t>67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Arial" w:cs="Arial" w:eastAsia="Arial" w:hAnsi="Arial"/>
                <w:sz w:val="16"/>
                <w:szCs w:val="16"/>
                <w:b w:val="1"/>
                <w:bCs w:val="1"/>
                <w:color w:val="0000FF"/>
              </w:rPr>
              <w:t>ITEM 3.</w:t>
            </w:r>
          </w:p>
        </w:tc>
        <w:tc>
          <w:tcPr>
            <w:tcW w:w="620" w:type="dxa"/>
            <w:vAlign w:val="bottom"/>
            <w:gridSpan w:val="3"/>
          </w:tcPr>
          <w:p>
            <w:pPr>
              <w:spacing w:after="0"/>
              <w:rPr>
                <w:sz w:val="17"/>
                <w:szCs w:val="17"/>
                <w:color w:val="auto"/>
              </w:rPr>
            </w:pPr>
          </w:p>
        </w:tc>
        <w:tc>
          <w:tcPr>
            <w:tcW w:w="9780" w:type="dxa"/>
            <w:vAlign w:val="bottom"/>
            <w:gridSpan w:val="20"/>
          </w:tcPr>
          <w:p>
            <w:pPr>
              <w:spacing w:after="0"/>
              <w:rPr>
                <w:sz w:val="20"/>
                <w:szCs w:val="20"/>
                <w:color w:val="auto"/>
              </w:rPr>
            </w:pPr>
            <w:r>
              <w:rPr>
                <w:rFonts w:ascii="Arial" w:cs="Arial" w:eastAsia="Arial" w:hAnsi="Arial"/>
                <w:sz w:val="16"/>
                <w:szCs w:val="16"/>
                <w:b w:val="1"/>
                <w:bCs w:val="1"/>
                <w:color w:val="0000FF"/>
              </w:rPr>
              <w:t>QUANTITATIVE AND QUALITATIVE DISCLOSURES ABOUT MARKET RISK</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70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6"/>
                <w:szCs w:val="16"/>
                <w:b w:val="1"/>
                <w:bCs w:val="1"/>
                <w:color w:val="0000FF"/>
              </w:rPr>
              <w:t>ITEM 4.</w:t>
            </w:r>
          </w:p>
        </w:tc>
        <w:tc>
          <w:tcPr>
            <w:tcW w:w="20" w:type="dxa"/>
            <w:vAlign w:val="bottom"/>
            <w:tcBorders>
              <w:top w:val="single" w:sz="8" w:color="0000FF"/>
            </w:tcBorders>
          </w:tcPr>
          <w:p>
            <w:pPr>
              <w:spacing w:after="0"/>
              <w:rPr>
                <w:sz w:val="17"/>
                <w:szCs w:val="17"/>
                <w:color w:val="auto"/>
              </w:rPr>
            </w:pPr>
          </w:p>
        </w:tc>
        <w:tc>
          <w:tcPr>
            <w:tcW w:w="620" w:type="dxa"/>
            <w:vAlign w:val="bottom"/>
            <w:gridSpan w:val="3"/>
          </w:tcPr>
          <w:p>
            <w:pPr>
              <w:spacing w:after="0"/>
              <w:rPr>
                <w:sz w:val="17"/>
                <w:szCs w:val="17"/>
                <w:color w:val="auto"/>
              </w:rPr>
            </w:pPr>
          </w:p>
        </w:tc>
        <w:tc>
          <w:tcPr>
            <w:tcW w:w="5680" w:type="dxa"/>
            <w:vAlign w:val="bottom"/>
            <w:tcBorders>
              <w:top w:val="single" w:sz="8" w:color="0000FF"/>
            </w:tcBorders>
            <w:gridSpan w:val="17"/>
          </w:tcPr>
          <w:p>
            <w:pPr>
              <w:spacing w:after="0"/>
              <w:rPr>
                <w:sz w:val="20"/>
                <w:szCs w:val="20"/>
                <w:color w:val="auto"/>
              </w:rPr>
            </w:pPr>
            <w:r>
              <w:rPr>
                <w:rFonts w:ascii="Arial" w:cs="Arial" w:eastAsia="Arial" w:hAnsi="Arial"/>
                <w:sz w:val="16"/>
                <w:szCs w:val="16"/>
                <w:b w:val="1"/>
                <w:bCs w:val="1"/>
                <w:color w:val="0000FF"/>
              </w:rPr>
              <w:t>CONTROLS AND PROCEDURES</w:t>
            </w:r>
          </w:p>
        </w:tc>
        <w:tc>
          <w:tcPr>
            <w:tcW w:w="4100" w:type="dxa"/>
            <w:vAlign w:val="bottom"/>
            <w:gridSpan w:val="3"/>
          </w:tcPr>
          <w:p>
            <w:pPr>
              <w:spacing w:after="0"/>
              <w:rPr>
                <w:sz w:val="17"/>
                <w:szCs w:val="17"/>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89"/>
              </w:rPr>
              <w:t>74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b w:val="1"/>
                <w:bCs w:val="1"/>
                <w:color w:val="0000FF"/>
                <w:w w:val="98"/>
              </w:rPr>
              <w:t>PART II</w:t>
            </w:r>
          </w:p>
        </w:tc>
        <w:tc>
          <w:tcPr>
            <w:tcW w:w="20" w:type="dxa"/>
            <w:vAlign w:val="bottom"/>
            <w:tcBorders>
              <w:top w:val="single" w:sz="8" w:color="0000FF"/>
            </w:tcBorders>
          </w:tcPr>
          <w:p>
            <w:pPr>
              <w:spacing w:after="0"/>
              <w:rPr>
                <w:sz w:val="17"/>
                <w:szCs w:val="17"/>
                <w:color w:val="auto"/>
              </w:rPr>
            </w:pPr>
          </w:p>
        </w:tc>
        <w:tc>
          <w:tcPr>
            <w:tcW w:w="640" w:type="dxa"/>
            <w:vAlign w:val="bottom"/>
            <w:gridSpan w:val="4"/>
          </w:tcPr>
          <w:p>
            <w:pPr>
              <w:spacing w:after="0"/>
              <w:rPr>
                <w:sz w:val="17"/>
                <w:szCs w:val="17"/>
                <w:color w:val="auto"/>
              </w:rPr>
            </w:pPr>
          </w:p>
        </w:tc>
        <w:tc>
          <w:tcPr>
            <w:tcW w:w="17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b w:val="1"/>
                <w:bCs w:val="1"/>
                <w:color w:val="0000FF"/>
              </w:rPr>
              <w:t>OTHER INFORMATION</w:t>
            </w:r>
          </w:p>
        </w:tc>
        <w:tc>
          <w:tcPr>
            <w:tcW w:w="740" w:type="dxa"/>
            <w:vAlign w:val="bottom"/>
            <w:tcBorders>
              <w:top w:val="single" w:sz="8" w:color="0000FF"/>
            </w:tcBorders>
            <w:gridSpan w:val="6"/>
          </w:tcPr>
          <w:p>
            <w:pPr>
              <w:spacing w:after="0"/>
              <w:rPr>
                <w:sz w:val="17"/>
                <w:szCs w:val="17"/>
                <w:color w:val="auto"/>
              </w:rPr>
            </w:pPr>
          </w:p>
        </w:tc>
        <w:tc>
          <w:tcPr>
            <w:tcW w:w="7280" w:type="dxa"/>
            <w:vAlign w:val="bottom"/>
            <w:gridSpan w:val="8"/>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color w:val="0000FF"/>
                <w:w w:val="89"/>
              </w:rPr>
              <w:t>75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rPr>
              <w:t>ITEM 1.</w:t>
            </w:r>
          </w:p>
        </w:tc>
        <w:tc>
          <w:tcPr>
            <w:tcW w:w="620" w:type="dxa"/>
            <w:vAlign w:val="bottom"/>
            <w:gridSpan w:val="3"/>
          </w:tcPr>
          <w:p>
            <w:pPr>
              <w:spacing w:after="0"/>
              <w:rPr>
                <w:sz w:val="17"/>
                <w:szCs w:val="17"/>
                <w:color w:val="auto"/>
              </w:rPr>
            </w:pPr>
          </w:p>
        </w:tc>
        <w:tc>
          <w:tcPr>
            <w:tcW w:w="18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LEGAL PROCEEDINGS</w:t>
            </w:r>
          </w:p>
        </w:tc>
        <w:tc>
          <w:tcPr>
            <w:tcW w:w="7980" w:type="dxa"/>
            <w:vAlign w:val="bottom"/>
            <w:gridSpan w:val="13"/>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tcPr>
          <w:p>
            <w:pPr>
              <w:spacing w:after="0"/>
              <w:rPr>
                <w:sz w:val="20"/>
                <w:szCs w:val="20"/>
                <w:color w:val="auto"/>
              </w:rPr>
            </w:pPr>
            <w:r>
              <w:rPr>
                <w:rFonts w:ascii="Arial" w:cs="Arial" w:eastAsia="Arial" w:hAnsi="Arial"/>
                <w:sz w:val="16"/>
                <w:szCs w:val="16"/>
                <w:b w:val="1"/>
                <w:bCs w:val="1"/>
                <w:color w:val="0000FF"/>
              </w:rPr>
              <w:t>ITEM 1A.</w:t>
            </w:r>
          </w:p>
        </w:tc>
        <w:tc>
          <w:tcPr>
            <w:tcW w:w="9780" w:type="dxa"/>
            <w:vAlign w:val="bottom"/>
            <w:gridSpan w:val="20"/>
          </w:tcPr>
          <w:p>
            <w:pPr>
              <w:spacing w:after="0"/>
              <w:rPr>
                <w:sz w:val="20"/>
                <w:szCs w:val="20"/>
                <w:color w:val="auto"/>
              </w:rPr>
            </w:pPr>
            <w:r>
              <w:rPr>
                <w:rFonts w:ascii="Arial" w:cs="Arial" w:eastAsia="Arial" w:hAnsi="Arial"/>
                <w:sz w:val="16"/>
                <w:szCs w:val="16"/>
                <w:b w:val="1"/>
                <w:bCs w:val="1"/>
                <w:color w:val="0000FF"/>
              </w:rPr>
              <w:t>RISK FACTORS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75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rPr>
              <w:t>ITEM 2.</w:t>
            </w:r>
          </w:p>
        </w:tc>
        <w:tc>
          <w:tcPr>
            <w:tcW w:w="6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582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b w:val="1"/>
                <w:bCs w:val="1"/>
                <w:color w:val="0000FF"/>
              </w:rPr>
              <w:t>UNREGISTERED SALES OF EQUITY SECURITIES AND USE OF PROCEEDS</w:t>
            </w:r>
          </w:p>
        </w:tc>
        <w:tc>
          <w:tcPr>
            <w:tcW w:w="396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rPr>
              <w:t>ITEM 4.</w:t>
            </w:r>
          </w:p>
        </w:tc>
        <w:tc>
          <w:tcPr>
            <w:tcW w:w="620" w:type="dxa"/>
            <w:vAlign w:val="bottom"/>
            <w:gridSpan w:val="3"/>
          </w:tcPr>
          <w:p>
            <w:pPr>
              <w:spacing w:after="0"/>
              <w:rPr>
                <w:sz w:val="17"/>
                <w:szCs w:val="17"/>
                <w:color w:val="auto"/>
              </w:rPr>
            </w:pPr>
          </w:p>
        </w:tc>
        <w:tc>
          <w:tcPr>
            <w:tcW w:w="232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b w:val="1"/>
                <w:bCs w:val="1"/>
                <w:color w:val="0000FF"/>
              </w:rPr>
              <w:t>MINE SAFETY DISCLOSURES</w:t>
            </w:r>
          </w:p>
        </w:tc>
        <w:tc>
          <w:tcPr>
            <w:tcW w:w="7460" w:type="dxa"/>
            <w:vAlign w:val="bottom"/>
            <w:gridSpan w:val="11"/>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rPr>
              <w:t>ITEM 5.</w:t>
            </w:r>
          </w:p>
        </w:tc>
        <w:tc>
          <w:tcPr>
            <w:tcW w:w="620" w:type="dxa"/>
            <w:vAlign w:val="bottom"/>
            <w:gridSpan w:val="3"/>
          </w:tcPr>
          <w:p>
            <w:pPr>
              <w:spacing w:after="0"/>
              <w:rPr>
                <w:sz w:val="17"/>
                <w:szCs w:val="17"/>
                <w:color w:val="auto"/>
              </w:rPr>
            </w:pPr>
          </w:p>
        </w:tc>
        <w:tc>
          <w:tcPr>
            <w:tcW w:w="17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rPr>
              <w:t>OTHER INFORMATION</w:t>
            </w:r>
          </w:p>
        </w:tc>
        <w:tc>
          <w:tcPr>
            <w:tcW w:w="8020" w:type="dxa"/>
            <w:vAlign w:val="bottom"/>
            <w:gridSpan w:val="14"/>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rPr>
              <w:t>ITEM 6.</w:t>
            </w:r>
          </w:p>
        </w:tc>
        <w:tc>
          <w:tcPr>
            <w:tcW w:w="620" w:type="dxa"/>
            <w:vAlign w:val="bottom"/>
            <w:gridSpan w:val="3"/>
          </w:tcPr>
          <w:p>
            <w:pPr>
              <w:spacing w:after="0"/>
              <w:rPr>
                <w:sz w:val="17"/>
                <w:szCs w:val="17"/>
                <w:color w:val="auto"/>
              </w:rPr>
            </w:pPr>
          </w:p>
        </w:tc>
        <w:tc>
          <w:tcPr>
            <w:tcW w:w="7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rPr>
              <w:t>EXHIBITS</w:t>
            </w:r>
          </w:p>
        </w:tc>
        <w:tc>
          <w:tcPr>
            <w:tcW w:w="9020" w:type="dxa"/>
            <w:vAlign w:val="bottom"/>
            <w:gridSpan w:val="18"/>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76</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tcPr>
          <w:p>
            <w:pPr>
              <w:spacing w:after="0"/>
              <w:rPr>
                <w:sz w:val="20"/>
                <w:szCs w:val="20"/>
                <w:color w:val="auto"/>
              </w:rPr>
            </w:pPr>
            <w:r>
              <w:rPr>
                <w:rFonts w:ascii="Arial" w:cs="Arial" w:eastAsia="Arial" w:hAnsi="Arial"/>
                <w:sz w:val="16"/>
                <w:szCs w:val="16"/>
                <w:b w:val="1"/>
                <w:bCs w:val="1"/>
                <w:color w:val="0000FF"/>
              </w:rPr>
              <w:t>SIGNATURES</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79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Constellation Energy Corporation</w:t>
            </w:r>
          </w:p>
        </w:tc>
        <w:tc>
          <w:tcPr>
            <w:tcW w:w="7180" w:type="dxa"/>
            <w:vAlign w:val="bottom"/>
            <w:gridSpan w:val="7"/>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color w:val="0000FF"/>
                <w:w w:val="89"/>
              </w:rPr>
              <w:t>79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gridSpan w:val="19"/>
          </w:tcPr>
          <w:p>
            <w:pPr>
              <w:spacing w:after="0"/>
              <w:rPr>
                <w:sz w:val="20"/>
                <w:szCs w:val="20"/>
                <w:color w:val="auto"/>
              </w:rPr>
            </w:pPr>
            <w:r>
              <w:rPr>
                <w:rFonts w:ascii="Arial" w:cs="Arial" w:eastAsia="Arial" w:hAnsi="Arial"/>
                <w:sz w:val="16"/>
                <w:szCs w:val="16"/>
                <w:color w:val="0000FF"/>
              </w:rPr>
              <w:t>Constellation Energy Generation, LLC</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80</w:t>
            </w:r>
          </w:p>
        </w:tc>
        <w:tc>
          <w:tcPr>
            <w:tcW w:w="20" w:type="dxa"/>
            <w:vAlign w:val="bottom"/>
          </w:tcPr>
          <w:p>
            <w:pPr>
              <w:spacing w:after="0"/>
              <w:rPr>
                <w:sz w:val="17"/>
                <w:szCs w:val="17"/>
                <w:color w:val="auto"/>
              </w:rPr>
            </w:pPr>
          </w:p>
        </w:tc>
      </w:tr>
      <w:tr>
        <w:trPr>
          <w:trHeight w:val="1688"/>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0" w:type="dxa"/>
            <w:vAlign w:val="bottom"/>
            <w:gridSpan w:val="2"/>
          </w:tcPr>
          <w:p>
            <w:pPr>
              <w:ind w:left="80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176"/>
        </w:trPr>
        <w:tc>
          <w:tcPr>
            <w:tcW w:w="20" w:type="dxa"/>
            <w:vAlign w:val="bottom"/>
          </w:tcPr>
          <w:p>
            <w:pPr>
              <w:spacing w:after="0"/>
              <w:rPr>
                <w:sz w:val="15"/>
                <w:szCs w:val="15"/>
                <w:color w:val="auto"/>
              </w:rPr>
            </w:pPr>
          </w:p>
        </w:tc>
        <w:tc>
          <w:tcPr>
            <w:tcW w:w="11220" w:type="dxa"/>
            <w:vAlign w:val="bottom"/>
            <w:gridSpan w:val="4"/>
          </w:tcPr>
          <w:p>
            <w:pPr>
              <w:spacing w:after="0" w:line="176" w:lineRule="exact"/>
              <w:rPr>
                <w:sz w:val="20"/>
                <w:szCs w:val="20"/>
                <w:color w:val="auto"/>
              </w:rPr>
            </w:pPr>
            <w:r>
              <w:rPr>
                <w:rFonts w:ascii="Arial" w:cs="Arial" w:eastAsia="Arial" w:hAnsi="Arial"/>
                <w:sz w:val="16"/>
                <w:szCs w:val="16"/>
                <w:b w:val="1"/>
                <w:bCs w:val="1"/>
                <w:color w:val="auto"/>
              </w:rPr>
              <w:t>Constellation Energy Corporation and Related Entities</w:t>
            </w:r>
          </w:p>
        </w:tc>
      </w:tr>
      <w:tr>
        <w:trPr>
          <w:trHeight w:val="21"/>
        </w:trPr>
        <w:tc>
          <w:tcPr>
            <w:tcW w:w="20" w:type="dxa"/>
            <w:vAlign w:val="bottom"/>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CEG Parent</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Constellation Energy Corporation</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Constellation</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Constellation Energy Generation, LLC</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Registrants</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CEG Parent and Constellation, collectively</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Antelope Valley</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Antelope Valley Solar Ranch One</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Calpine</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Calpine Corporation</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Calvert Cliffs</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Calvert Cliffs nuclear generating station</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CCFC</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Calpine Construction Finance Company, L.P.</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CDHI</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Calpine Development Holdings, LLC</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Continental Wind</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Continental Wind LLC</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Crane</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Crane Clean Energy Center (formerly known as Three Mile Island Unit 1)</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CRP</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Constellation Renewables Partners, LLC</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FitzPatrick</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James A. FitzPatrick nuclear generating station</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GPC</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Geysers Power Company, LLC</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Greenfield L.P.</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Greenfield Energy Centre L.P.</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LaSalle</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LaSalle nuclear generating station</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Limerick</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Limerick nuclear generating station</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NER</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NewEnergy Receivables LLC</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NMP</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Nine Mile Point nuclear generating station</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Nova Power</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Nova Power, LLC</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Pin Oak Creek</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Pin Oak Creek Energy Center</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RPG</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Renewable Power Generation, LLC</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STP</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South Texas Project nuclear generating station</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West Medway II</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West Medway Generating Station II</w:t>
            </w:r>
          </w:p>
        </w:tc>
      </w:tr>
      <w:tr>
        <w:trPr>
          <w:trHeight w:val="459"/>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Other Terms and Abbreviations</w:t>
            </w:r>
          </w:p>
        </w:tc>
        <w:tc>
          <w:tcPr>
            <w:tcW w:w="1180" w:type="dxa"/>
            <w:vAlign w:val="bottom"/>
          </w:tcPr>
          <w:p>
            <w:pPr>
              <w:spacing w:after="0"/>
              <w:rPr>
                <w:sz w:val="24"/>
                <w:szCs w:val="24"/>
                <w:color w:val="auto"/>
              </w:rPr>
            </w:pPr>
          </w:p>
        </w:tc>
        <w:tc>
          <w:tcPr>
            <w:tcW w:w="70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AB</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Assembly Bill</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AEP Texas</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American Electric Power Texas</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AESO</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Alberta Electric Systems Operator</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AOCI</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Accumulated Other Comprehensive Income (Loss)</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ARC</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Asset Retirement Cost</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ARO</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Asset Retirement Obligation</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CAISO</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California ISO</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CenterPoint</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CenterPoint Energy Houston Electric, LLC</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CMC</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Carbon Mitigation Credit</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CO2</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Carbon Dioxide</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CODM</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Chief Operating Decision Maker</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ComEd</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Commonwealth Edison Company</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CORRA</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Canadian Overnight Repo Rate Average</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CWIP</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Construction Work In Progress</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DOE</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United States Department of Energy</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DOJ</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United States Department of Justice</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EGU</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Electric Generating Units</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EFOF</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Equivalent Forced Outage Factor</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ERCOT</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Electric Reliability Council of Texas</w:t>
            </w: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ERISA</w:t>
            </w:r>
          </w:p>
        </w:tc>
        <w:tc>
          <w:tcPr>
            <w:tcW w:w="8200" w:type="dxa"/>
            <w:vAlign w:val="bottom"/>
            <w:gridSpan w:val="2"/>
          </w:tcPr>
          <w:p>
            <w:pPr>
              <w:ind w:left="600"/>
              <w:spacing w:after="0"/>
              <w:rPr>
                <w:sz w:val="20"/>
                <w:szCs w:val="20"/>
                <w:color w:val="auto"/>
              </w:rPr>
            </w:pPr>
            <w:r>
              <w:rPr>
                <w:rFonts w:ascii="Arial" w:cs="Arial" w:eastAsia="Arial" w:hAnsi="Arial"/>
                <w:sz w:val="16"/>
                <w:szCs w:val="16"/>
                <w:color w:val="auto"/>
              </w:rPr>
              <w:t>Employee Retirement Income Security Act of 1974, as amended</w:t>
            </w: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Exchange Act</w:t>
            </w:r>
          </w:p>
        </w:tc>
        <w:tc>
          <w:tcPr>
            <w:tcW w:w="8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Securities Exchange Act of 1934, as amended</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 Terms and Abbreviations</w:t>
            </w:r>
          </w:p>
        </w:tc>
        <w:tc>
          <w:tcPr>
            <w:tcW w:w="8200" w:type="dxa"/>
            <w:vAlign w:val="bottom"/>
          </w:tcPr>
          <w:p>
            <w:pPr>
              <w:ind w:left="800"/>
              <w:spacing w:after="0"/>
              <w:rPr>
                <w:sz w:val="20"/>
                <w:szCs w:val="20"/>
                <w:color w:val="auto"/>
              </w:rPr>
            </w:pPr>
            <w:r>
              <w:rPr>
                <w:rFonts w:ascii="Arial" w:cs="Arial" w:eastAsia="Arial" w:hAnsi="Arial"/>
                <w:sz w:val="16"/>
                <w:szCs w:val="16"/>
                <w:b w:val="1"/>
                <w:bCs w:val="1"/>
                <w:color w:val="auto"/>
              </w:rPr>
              <w:t>GLOSSARY OF TERMS AND ABBREVIATIONS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8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Exelon</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Exelon Corporation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FERC</w:t>
            </w:r>
          </w:p>
        </w:tc>
        <w:tc>
          <w:tcPr>
            <w:tcW w:w="8200" w:type="dxa"/>
            <w:vAlign w:val="bottom"/>
          </w:tcPr>
          <w:p>
            <w:pPr>
              <w:ind w:left="600"/>
              <w:spacing w:after="0"/>
              <w:rPr>
                <w:sz w:val="20"/>
                <w:szCs w:val="20"/>
                <w:color w:val="auto"/>
              </w:rPr>
            </w:pPr>
            <w:r>
              <w:rPr>
                <w:rFonts w:ascii="Arial" w:cs="Arial" w:eastAsia="Arial" w:hAnsi="Arial"/>
                <w:sz w:val="16"/>
                <w:szCs w:val="16"/>
                <w:color w:val="auto"/>
              </w:rPr>
              <w:t>Federal Energy Regulatory Commission</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Former ComEd Units</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Braidwood, Byron, Dresden, LaSalle and Quad Cities nuclear generating units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Former PECO Units</w:t>
            </w:r>
          </w:p>
        </w:tc>
        <w:tc>
          <w:tcPr>
            <w:tcW w:w="8200" w:type="dxa"/>
            <w:vAlign w:val="bottom"/>
          </w:tcPr>
          <w:p>
            <w:pPr>
              <w:ind w:left="600"/>
              <w:spacing w:after="0"/>
              <w:rPr>
                <w:sz w:val="20"/>
                <w:szCs w:val="20"/>
                <w:color w:val="auto"/>
              </w:rPr>
            </w:pPr>
            <w:r>
              <w:rPr>
                <w:rFonts w:ascii="Arial" w:cs="Arial" w:eastAsia="Arial" w:hAnsi="Arial"/>
                <w:sz w:val="16"/>
                <w:szCs w:val="16"/>
                <w:color w:val="auto"/>
              </w:rPr>
              <w:t>Limerick, Peach Bottom, and Salem nuclear generating units</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FRCC</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Florida Reliability Coordinating Council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GAAP</w:t>
            </w:r>
          </w:p>
        </w:tc>
        <w:tc>
          <w:tcPr>
            <w:tcW w:w="8200" w:type="dxa"/>
            <w:vAlign w:val="bottom"/>
          </w:tcPr>
          <w:p>
            <w:pPr>
              <w:ind w:left="600"/>
              <w:spacing w:after="0"/>
              <w:rPr>
                <w:sz w:val="20"/>
                <w:szCs w:val="20"/>
                <w:color w:val="auto"/>
              </w:rPr>
            </w:pPr>
            <w:r>
              <w:rPr>
                <w:rFonts w:ascii="Arial" w:cs="Arial" w:eastAsia="Arial" w:hAnsi="Arial"/>
                <w:sz w:val="16"/>
                <w:szCs w:val="16"/>
                <w:color w:val="auto"/>
              </w:rPr>
              <w:t>Generally Accepted Accounting Principles in the United States</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GDP</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Gross Domestic Product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62" w:lineRule="exact"/>
              <w:rPr>
                <w:sz w:val="20"/>
                <w:szCs w:val="20"/>
                <w:color w:val="auto"/>
              </w:rPr>
            </w:pPr>
            <w:r>
              <w:rPr>
                <w:rFonts w:ascii="Arial" w:cs="Arial" w:eastAsia="Arial" w:hAnsi="Arial"/>
                <w:sz w:val="16"/>
                <w:szCs w:val="16"/>
                <w:i w:val="1"/>
                <w:iCs w:val="1"/>
                <w:color w:val="auto"/>
              </w:rPr>
              <w:t>Geysers Assets</w:t>
            </w:r>
          </w:p>
        </w:tc>
        <w:tc>
          <w:tcPr>
            <w:tcW w:w="8200" w:type="dxa"/>
            <w:vAlign w:val="bottom"/>
          </w:tcPr>
          <w:p>
            <w:pPr>
              <w:ind w:left="600"/>
              <w:spacing w:after="0" w:line="162" w:lineRule="exact"/>
              <w:rPr>
                <w:sz w:val="20"/>
                <w:szCs w:val="20"/>
                <w:color w:val="auto"/>
              </w:rPr>
            </w:pPr>
            <w:r>
              <w:rPr>
                <w:rFonts w:ascii="Arial" w:cs="Arial" w:eastAsia="Arial" w:hAnsi="Arial"/>
                <w:sz w:val="16"/>
                <w:szCs w:val="16"/>
                <w:color w:val="auto"/>
              </w:rPr>
              <w:t>Geothermal power plant assets acquired through Calpine, including steam extraction and gathering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0" w:type="dxa"/>
            <w:vAlign w:val="bottom"/>
          </w:tcPr>
          <w:p>
            <w:pPr>
              <w:ind w:left="600"/>
              <w:spacing w:after="0"/>
              <w:rPr>
                <w:sz w:val="20"/>
                <w:szCs w:val="20"/>
                <w:color w:val="auto"/>
              </w:rPr>
            </w:pPr>
            <w:r>
              <w:rPr>
                <w:rFonts w:ascii="Arial" w:cs="Arial" w:eastAsia="Arial" w:hAnsi="Arial"/>
                <w:sz w:val="16"/>
                <w:szCs w:val="16"/>
                <w:color w:val="auto"/>
              </w:rPr>
              <w:t>assets</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GHG</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Greenhouse Gas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GW</w:t>
            </w:r>
          </w:p>
        </w:tc>
        <w:tc>
          <w:tcPr>
            <w:tcW w:w="8200" w:type="dxa"/>
            <w:vAlign w:val="bottom"/>
          </w:tcPr>
          <w:p>
            <w:pPr>
              <w:ind w:left="600"/>
              <w:spacing w:after="0"/>
              <w:rPr>
                <w:sz w:val="20"/>
                <w:szCs w:val="20"/>
                <w:color w:val="auto"/>
              </w:rPr>
            </w:pPr>
            <w:r>
              <w:rPr>
                <w:rFonts w:ascii="Arial" w:cs="Arial" w:eastAsia="Arial" w:hAnsi="Arial"/>
                <w:sz w:val="16"/>
                <w:szCs w:val="16"/>
                <w:color w:val="auto"/>
              </w:rPr>
              <w:t>Gigawatt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GWh</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Gigawatt hour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Heat Rate</w:t>
            </w:r>
          </w:p>
        </w:tc>
        <w:tc>
          <w:tcPr>
            <w:tcW w:w="8200" w:type="dxa"/>
            <w:vAlign w:val="bottom"/>
          </w:tcPr>
          <w:p>
            <w:pPr>
              <w:ind w:left="600"/>
              <w:spacing w:after="0"/>
              <w:rPr>
                <w:sz w:val="20"/>
                <w:szCs w:val="20"/>
                <w:color w:val="auto"/>
              </w:rPr>
            </w:pPr>
            <w:r>
              <w:rPr>
                <w:rFonts w:ascii="Arial" w:cs="Arial" w:eastAsia="Arial" w:hAnsi="Arial"/>
                <w:sz w:val="16"/>
                <w:szCs w:val="16"/>
                <w:color w:val="auto"/>
              </w:rPr>
              <w:t>A measure of the amount of fuel required to produce a unit of power</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ICE</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Intercontinental Exchange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IPA</w:t>
            </w:r>
          </w:p>
        </w:tc>
        <w:tc>
          <w:tcPr>
            <w:tcW w:w="8200" w:type="dxa"/>
            <w:vAlign w:val="bottom"/>
          </w:tcPr>
          <w:p>
            <w:pPr>
              <w:ind w:left="600"/>
              <w:spacing w:after="0"/>
              <w:rPr>
                <w:sz w:val="20"/>
                <w:szCs w:val="20"/>
                <w:color w:val="auto"/>
              </w:rPr>
            </w:pPr>
            <w:r>
              <w:rPr>
                <w:rFonts w:ascii="Arial" w:cs="Arial" w:eastAsia="Arial" w:hAnsi="Arial"/>
                <w:sz w:val="16"/>
                <w:szCs w:val="16"/>
                <w:color w:val="auto"/>
              </w:rPr>
              <w:t>Illinois Power Agency</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IRA</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Inflation Reduction Act of 2022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IRS</w:t>
            </w:r>
          </w:p>
        </w:tc>
        <w:tc>
          <w:tcPr>
            <w:tcW w:w="8200" w:type="dxa"/>
            <w:vAlign w:val="bottom"/>
          </w:tcPr>
          <w:p>
            <w:pPr>
              <w:ind w:left="60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ISO</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Independent System Operator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ISO-NE</w:t>
            </w:r>
          </w:p>
        </w:tc>
        <w:tc>
          <w:tcPr>
            <w:tcW w:w="8200" w:type="dxa"/>
            <w:vAlign w:val="bottom"/>
          </w:tcPr>
          <w:p>
            <w:pPr>
              <w:ind w:left="600"/>
              <w:spacing w:after="0"/>
              <w:rPr>
                <w:sz w:val="20"/>
                <w:szCs w:val="20"/>
                <w:color w:val="auto"/>
              </w:rPr>
            </w:pPr>
            <w:r>
              <w:rPr>
                <w:rFonts w:ascii="Arial" w:cs="Arial" w:eastAsia="Arial" w:hAnsi="Arial"/>
                <w:sz w:val="16"/>
                <w:szCs w:val="16"/>
                <w:color w:val="auto"/>
              </w:rPr>
              <w:t>ISO New England Inc.</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ITC</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Investment Tax Credit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MISO</w:t>
            </w:r>
          </w:p>
        </w:tc>
        <w:tc>
          <w:tcPr>
            <w:tcW w:w="8200" w:type="dxa"/>
            <w:vAlign w:val="bottom"/>
          </w:tcPr>
          <w:p>
            <w:pPr>
              <w:ind w:left="600"/>
              <w:spacing w:after="0"/>
              <w:rPr>
                <w:sz w:val="20"/>
                <w:szCs w:val="20"/>
                <w:color w:val="auto"/>
              </w:rPr>
            </w:pPr>
            <w:r>
              <w:rPr>
                <w:rFonts w:ascii="Arial" w:cs="Arial" w:eastAsia="Arial" w:hAnsi="Arial"/>
                <w:sz w:val="16"/>
                <w:szCs w:val="16"/>
                <w:color w:val="auto"/>
              </w:rPr>
              <w:t>Midcontinent Independent System Operator, Inc.</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MMBtu</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Million British thermal units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Moody's</w:t>
            </w:r>
          </w:p>
        </w:tc>
        <w:tc>
          <w:tcPr>
            <w:tcW w:w="8200" w:type="dxa"/>
            <w:vAlign w:val="bottom"/>
          </w:tcPr>
          <w:p>
            <w:pPr>
              <w:ind w:left="600"/>
              <w:spacing w:after="0"/>
              <w:rPr>
                <w:sz w:val="20"/>
                <w:szCs w:val="20"/>
                <w:color w:val="auto"/>
              </w:rPr>
            </w:pPr>
            <w:r>
              <w:rPr>
                <w:rFonts w:ascii="Arial" w:cs="Arial" w:eastAsia="Arial" w:hAnsi="Arial"/>
                <w:sz w:val="16"/>
                <w:szCs w:val="16"/>
                <w:color w:val="auto"/>
              </w:rPr>
              <w:t>Moody’s Investors Service, Inc.</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MW</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Megawatt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MWh</w:t>
            </w:r>
          </w:p>
        </w:tc>
        <w:tc>
          <w:tcPr>
            <w:tcW w:w="8200" w:type="dxa"/>
            <w:vAlign w:val="bottom"/>
          </w:tcPr>
          <w:p>
            <w:pPr>
              <w:ind w:left="600"/>
              <w:spacing w:after="0"/>
              <w:rPr>
                <w:sz w:val="20"/>
                <w:szCs w:val="20"/>
                <w:color w:val="auto"/>
              </w:rPr>
            </w:pPr>
            <w:r>
              <w:rPr>
                <w:rFonts w:ascii="Arial" w:cs="Arial" w:eastAsia="Arial" w:hAnsi="Arial"/>
                <w:sz w:val="16"/>
                <w:szCs w:val="16"/>
                <w:color w:val="auto"/>
              </w:rPr>
              <w:t>Megawatt hour</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NASDAQ</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Nasdaq Stock Market, LLC</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NAV</w:t>
            </w:r>
          </w:p>
        </w:tc>
        <w:tc>
          <w:tcPr>
            <w:tcW w:w="8200" w:type="dxa"/>
            <w:vAlign w:val="bottom"/>
          </w:tcPr>
          <w:p>
            <w:pPr>
              <w:ind w:left="600"/>
              <w:spacing w:after="0"/>
              <w:rPr>
                <w:sz w:val="20"/>
                <w:szCs w:val="20"/>
                <w:color w:val="auto"/>
              </w:rPr>
            </w:pPr>
            <w:r>
              <w:rPr>
                <w:rFonts w:ascii="Arial" w:cs="Arial" w:eastAsia="Arial" w:hAnsi="Arial"/>
                <w:sz w:val="16"/>
                <w:szCs w:val="16"/>
                <w:color w:val="auto"/>
              </w:rPr>
              <w:t>Net Asset Value</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NDT</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Nuclear Decommissioning Trust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NERC</w:t>
            </w:r>
          </w:p>
        </w:tc>
        <w:tc>
          <w:tcPr>
            <w:tcW w:w="8200" w:type="dxa"/>
            <w:vAlign w:val="bottom"/>
          </w:tcPr>
          <w:p>
            <w:pPr>
              <w:ind w:left="600"/>
              <w:spacing w:after="0"/>
              <w:rPr>
                <w:sz w:val="20"/>
                <w:szCs w:val="20"/>
                <w:color w:val="auto"/>
              </w:rPr>
            </w:pPr>
            <w:r>
              <w:rPr>
                <w:rFonts w:ascii="Arial" w:cs="Arial" w:eastAsia="Arial" w:hAnsi="Arial"/>
                <w:sz w:val="16"/>
                <w:szCs w:val="16"/>
                <w:color w:val="auto"/>
              </w:rPr>
              <w:t>North American Electric Reliability Corporation</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NGX</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Natural Gas Exchange, Inc.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62" w:lineRule="exact"/>
              <w:rPr>
                <w:sz w:val="20"/>
                <w:szCs w:val="20"/>
                <w:color w:val="auto"/>
              </w:rPr>
            </w:pPr>
            <w:r>
              <w:rPr>
                <w:rFonts w:ascii="Arial" w:cs="Arial" w:eastAsia="Arial" w:hAnsi="Arial"/>
                <w:sz w:val="16"/>
                <w:szCs w:val="16"/>
                <w:i w:val="1"/>
                <w:iCs w:val="1"/>
                <w:color w:val="auto"/>
              </w:rPr>
              <w:t>Non-Regulatory Agreement Units</w:t>
            </w:r>
          </w:p>
        </w:tc>
        <w:tc>
          <w:tcPr>
            <w:tcW w:w="8200" w:type="dxa"/>
            <w:vAlign w:val="bottom"/>
          </w:tcPr>
          <w:p>
            <w:pPr>
              <w:ind w:left="600"/>
              <w:spacing w:after="0" w:line="162" w:lineRule="exact"/>
              <w:rPr>
                <w:sz w:val="20"/>
                <w:szCs w:val="20"/>
                <w:color w:val="auto"/>
              </w:rPr>
            </w:pPr>
            <w:r>
              <w:rPr>
                <w:rFonts w:ascii="Arial" w:cs="Arial" w:eastAsia="Arial" w:hAnsi="Arial"/>
                <w:sz w:val="16"/>
                <w:szCs w:val="16"/>
                <w:color w:val="auto"/>
              </w:rPr>
              <w:t>Nuclear generating units or portions thereof whose decommissioning-related activities are not subject to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0" w:type="dxa"/>
            <w:vAlign w:val="bottom"/>
          </w:tcPr>
          <w:p>
            <w:pPr>
              <w:ind w:left="600"/>
              <w:spacing w:after="0"/>
              <w:rPr>
                <w:sz w:val="20"/>
                <w:szCs w:val="20"/>
                <w:color w:val="auto"/>
              </w:rPr>
            </w:pPr>
            <w:r>
              <w:rPr>
                <w:rFonts w:ascii="Arial" w:cs="Arial" w:eastAsia="Arial" w:hAnsi="Arial"/>
                <w:sz w:val="16"/>
                <w:szCs w:val="16"/>
                <w:color w:val="auto"/>
              </w:rPr>
              <w:t>contractual elimination under regulatory accounting</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NOx</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Nitrogen oxide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NPNS</w:t>
            </w:r>
          </w:p>
        </w:tc>
        <w:tc>
          <w:tcPr>
            <w:tcW w:w="8200" w:type="dxa"/>
            <w:vAlign w:val="bottom"/>
          </w:tcPr>
          <w:p>
            <w:pPr>
              <w:ind w:left="600"/>
              <w:spacing w:after="0"/>
              <w:rPr>
                <w:sz w:val="20"/>
                <w:szCs w:val="20"/>
                <w:color w:val="auto"/>
              </w:rPr>
            </w:pPr>
            <w:r>
              <w:rPr>
                <w:rFonts w:ascii="Arial" w:cs="Arial" w:eastAsia="Arial" w:hAnsi="Arial"/>
                <w:sz w:val="16"/>
                <w:szCs w:val="16"/>
                <w:color w:val="auto"/>
              </w:rPr>
              <w:t>Normal Purchase Normal Sale scope exception</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NRC</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Nuclear Regulatory Commission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NYISO</w:t>
            </w:r>
          </w:p>
        </w:tc>
        <w:tc>
          <w:tcPr>
            <w:tcW w:w="8200" w:type="dxa"/>
            <w:vAlign w:val="bottom"/>
          </w:tcPr>
          <w:p>
            <w:pPr>
              <w:ind w:left="600"/>
              <w:spacing w:after="0"/>
              <w:rPr>
                <w:sz w:val="20"/>
                <w:szCs w:val="20"/>
                <w:color w:val="auto"/>
              </w:rPr>
            </w:pPr>
            <w:r>
              <w:rPr>
                <w:rFonts w:ascii="Arial" w:cs="Arial" w:eastAsia="Arial" w:hAnsi="Arial"/>
                <w:sz w:val="16"/>
                <w:szCs w:val="16"/>
                <w:color w:val="auto"/>
              </w:rPr>
              <w:t>New York ISO</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NYMEX</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New York Mercantile Exchange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OCI</w:t>
            </w:r>
          </w:p>
        </w:tc>
        <w:tc>
          <w:tcPr>
            <w:tcW w:w="8200" w:type="dxa"/>
            <w:vAlign w:val="bottom"/>
          </w:tcPr>
          <w:p>
            <w:pPr>
              <w:ind w:left="60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OIESO</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Ontario Independent Electricity System Operator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OPEB</w:t>
            </w:r>
          </w:p>
        </w:tc>
        <w:tc>
          <w:tcPr>
            <w:tcW w:w="8200" w:type="dxa"/>
            <w:vAlign w:val="bottom"/>
          </w:tcPr>
          <w:p>
            <w:pPr>
              <w:ind w:left="600"/>
              <w:spacing w:after="0"/>
              <w:rPr>
                <w:sz w:val="20"/>
                <w:szCs w:val="20"/>
                <w:color w:val="auto"/>
              </w:rPr>
            </w:pPr>
            <w:r>
              <w:rPr>
                <w:rFonts w:ascii="Arial" w:cs="Arial" w:eastAsia="Arial" w:hAnsi="Arial"/>
                <w:sz w:val="16"/>
                <w:szCs w:val="16"/>
                <w:color w:val="auto"/>
              </w:rPr>
              <w:t>Other Postretirement Employee Benefits</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PECO</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PECO Energy 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Pension Protection Act</w:t>
            </w:r>
          </w:p>
        </w:tc>
        <w:tc>
          <w:tcPr>
            <w:tcW w:w="8200" w:type="dxa"/>
            <w:vAlign w:val="bottom"/>
          </w:tcPr>
          <w:p>
            <w:pPr>
              <w:ind w:left="600"/>
              <w:spacing w:after="0"/>
              <w:rPr>
                <w:sz w:val="20"/>
                <w:szCs w:val="20"/>
                <w:color w:val="auto"/>
              </w:rPr>
            </w:pPr>
            <w:r>
              <w:rPr>
                <w:rFonts w:ascii="Arial" w:cs="Arial" w:eastAsia="Arial" w:hAnsi="Arial"/>
                <w:sz w:val="16"/>
                <w:szCs w:val="16"/>
                <w:color w:val="auto"/>
              </w:rPr>
              <w:t>Pension Protection Act of 2006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PG&amp;E</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Pacific Gas and Electric 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PJM</w:t>
            </w:r>
          </w:p>
        </w:tc>
        <w:tc>
          <w:tcPr>
            <w:tcW w:w="8200" w:type="dxa"/>
            <w:vAlign w:val="bottom"/>
          </w:tcPr>
          <w:p>
            <w:pPr>
              <w:ind w:left="600"/>
              <w:spacing w:after="0"/>
              <w:rPr>
                <w:sz w:val="20"/>
                <w:szCs w:val="20"/>
                <w:color w:val="auto"/>
              </w:rPr>
            </w:pPr>
            <w:r>
              <w:rPr>
                <w:rFonts w:ascii="Arial" w:cs="Arial" w:eastAsia="Arial" w:hAnsi="Arial"/>
                <w:sz w:val="16"/>
                <w:szCs w:val="16"/>
                <w:color w:val="auto"/>
              </w:rPr>
              <w:t>PJM Interconnection, LLC</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PPA</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Power Purchase Agreement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PP&amp;E</w:t>
            </w:r>
          </w:p>
        </w:tc>
        <w:tc>
          <w:tcPr>
            <w:tcW w:w="8200" w:type="dxa"/>
            <w:vAlign w:val="bottom"/>
          </w:tcPr>
          <w:p>
            <w:pPr>
              <w:ind w:left="600"/>
              <w:spacing w:after="0"/>
              <w:rPr>
                <w:sz w:val="20"/>
                <w:szCs w:val="20"/>
                <w:color w:val="auto"/>
              </w:rPr>
            </w:pPr>
            <w:r>
              <w:rPr>
                <w:rFonts w:ascii="Arial" w:cs="Arial" w:eastAsia="Arial" w:hAnsi="Arial"/>
                <w:sz w:val="16"/>
                <w:szCs w:val="16"/>
                <w:color w:val="auto"/>
              </w:rPr>
              <w:t>Property, Plant, and Equipment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 Terms and Abbreviations</w:t>
            </w:r>
          </w:p>
        </w:tc>
        <w:tc>
          <w:tcPr>
            <w:tcW w:w="8200" w:type="dxa"/>
            <w:vAlign w:val="bottom"/>
          </w:tcPr>
          <w:p>
            <w:pPr>
              <w:ind w:left="800"/>
              <w:spacing w:after="0"/>
              <w:rPr>
                <w:sz w:val="20"/>
                <w:szCs w:val="20"/>
                <w:color w:val="auto"/>
              </w:rPr>
            </w:pPr>
            <w:r>
              <w:rPr>
                <w:rFonts w:ascii="Arial" w:cs="Arial" w:eastAsia="Arial" w:hAnsi="Arial"/>
                <w:sz w:val="16"/>
                <w:szCs w:val="16"/>
                <w:b w:val="1"/>
                <w:bCs w:val="1"/>
                <w:color w:val="auto"/>
              </w:rPr>
              <w:t>GLOSSARY OF TERMS AND ABBREVIATIONS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8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PSDAR</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Post-shutdown Decommissioning Activities Report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PSEG</w:t>
            </w:r>
          </w:p>
        </w:tc>
        <w:tc>
          <w:tcPr>
            <w:tcW w:w="8200" w:type="dxa"/>
            <w:vAlign w:val="bottom"/>
          </w:tcPr>
          <w:p>
            <w:pPr>
              <w:ind w:left="600"/>
              <w:spacing w:after="0"/>
              <w:rPr>
                <w:sz w:val="20"/>
                <w:szCs w:val="20"/>
                <w:color w:val="auto"/>
              </w:rPr>
            </w:pPr>
            <w:r>
              <w:rPr>
                <w:rFonts w:ascii="Arial" w:cs="Arial" w:eastAsia="Arial" w:hAnsi="Arial"/>
                <w:sz w:val="16"/>
                <w:szCs w:val="16"/>
                <w:color w:val="auto"/>
              </w:rPr>
              <w:t>Public Service Enterprise Group Incorporated</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PTC</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Production Tax Credit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62" w:lineRule="exact"/>
              <w:rPr>
                <w:sz w:val="20"/>
                <w:szCs w:val="20"/>
                <w:color w:val="auto"/>
              </w:rPr>
            </w:pPr>
            <w:r>
              <w:rPr>
                <w:rFonts w:ascii="Arial" w:cs="Arial" w:eastAsia="Arial" w:hAnsi="Arial"/>
                <w:sz w:val="16"/>
                <w:szCs w:val="16"/>
                <w:i w:val="1"/>
                <w:iCs w:val="1"/>
                <w:color w:val="auto"/>
              </w:rPr>
              <w:t>Regulatory Agreement Units</w:t>
            </w:r>
          </w:p>
        </w:tc>
        <w:tc>
          <w:tcPr>
            <w:tcW w:w="8200" w:type="dxa"/>
            <w:vAlign w:val="bottom"/>
          </w:tcPr>
          <w:p>
            <w:pPr>
              <w:ind w:left="600"/>
              <w:spacing w:after="0" w:line="162" w:lineRule="exact"/>
              <w:rPr>
                <w:sz w:val="20"/>
                <w:szCs w:val="20"/>
                <w:color w:val="auto"/>
              </w:rPr>
            </w:pPr>
            <w:r>
              <w:rPr>
                <w:rFonts w:ascii="Arial" w:cs="Arial" w:eastAsia="Arial" w:hAnsi="Arial"/>
                <w:sz w:val="16"/>
                <w:szCs w:val="16"/>
                <w:color w:val="auto"/>
              </w:rPr>
              <w:t>Nuclear generating units or portions thereof whose decommissioning-related activities are subject to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0" w:type="dxa"/>
            <w:vAlign w:val="bottom"/>
          </w:tcPr>
          <w:p>
            <w:pPr>
              <w:ind w:left="600"/>
              <w:spacing w:after="0" w:line="162" w:lineRule="exact"/>
              <w:rPr>
                <w:sz w:val="20"/>
                <w:szCs w:val="20"/>
                <w:color w:val="auto"/>
              </w:rPr>
            </w:pPr>
            <w:r>
              <w:rPr>
                <w:rFonts w:ascii="Arial" w:cs="Arial" w:eastAsia="Arial" w:hAnsi="Arial"/>
                <w:sz w:val="16"/>
                <w:szCs w:val="16"/>
                <w:color w:val="auto"/>
              </w:rPr>
              <w:t>contractual elimination under regulatory accounting (includes the Former ComEd Units, the Former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0" w:type="dxa"/>
            <w:vAlign w:val="bottom"/>
          </w:tcPr>
          <w:p>
            <w:pPr>
              <w:ind w:left="600"/>
              <w:spacing w:after="0"/>
              <w:rPr>
                <w:sz w:val="20"/>
                <w:szCs w:val="20"/>
                <w:color w:val="auto"/>
              </w:rPr>
            </w:pPr>
            <w:r>
              <w:rPr>
                <w:rFonts w:ascii="Arial" w:cs="Arial" w:eastAsia="Arial" w:hAnsi="Arial"/>
                <w:sz w:val="16"/>
                <w:szCs w:val="16"/>
                <w:color w:val="auto"/>
              </w:rPr>
              <w:t>PECO Units and STP)</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RNF</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Operating Revenues Net of Purchased Power and Fuel Expense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RPM</w:t>
            </w:r>
          </w:p>
        </w:tc>
        <w:tc>
          <w:tcPr>
            <w:tcW w:w="8200" w:type="dxa"/>
            <w:vAlign w:val="bottom"/>
          </w:tcPr>
          <w:p>
            <w:pPr>
              <w:ind w:left="600"/>
              <w:spacing w:after="0"/>
              <w:rPr>
                <w:sz w:val="20"/>
                <w:szCs w:val="20"/>
                <w:color w:val="auto"/>
              </w:rPr>
            </w:pPr>
            <w:r>
              <w:rPr>
                <w:rFonts w:ascii="Arial" w:cs="Arial" w:eastAsia="Arial" w:hAnsi="Arial"/>
                <w:sz w:val="16"/>
                <w:szCs w:val="16"/>
                <w:color w:val="auto"/>
              </w:rPr>
              <w:t>Reliability Pricing Model</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RTO</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Regional Transmission Organization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S&amp;P</w:t>
            </w:r>
          </w:p>
        </w:tc>
        <w:tc>
          <w:tcPr>
            <w:tcW w:w="8200" w:type="dxa"/>
            <w:vAlign w:val="bottom"/>
          </w:tcPr>
          <w:p>
            <w:pPr>
              <w:ind w:left="600"/>
              <w:spacing w:after="0"/>
              <w:rPr>
                <w:sz w:val="20"/>
                <w:szCs w:val="20"/>
                <w:color w:val="auto"/>
              </w:rPr>
            </w:pPr>
            <w:r>
              <w:rPr>
                <w:rFonts w:ascii="Arial" w:cs="Arial" w:eastAsia="Arial" w:hAnsi="Arial"/>
                <w:sz w:val="16"/>
                <w:szCs w:val="16"/>
                <w:color w:val="auto"/>
              </w:rPr>
              <w:t>S&amp;P Global Ratings, a Standard &amp; Poor’s Financial Services LLC business</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SB</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Senate Bill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SEC</w:t>
            </w:r>
          </w:p>
        </w:tc>
        <w:tc>
          <w:tcPr>
            <w:tcW w:w="8200" w:type="dxa"/>
            <w:vAlign w:val="bottom"/>
          </w:tcPr>
          <w:p>
            <w:pPr>
              <w:ind w:left="600"/>
              <w:spacing w:after="0"/>
              <w:rPr>
                <w:sz w:val="20"/>
                <w:szCs w:val="20"/>
                <w:color w:val="auto"/>
              </w:rPr>
            </w:pPr>
            <w:r>
              <w:rPr>
                <w:rFonts w:ascii="Arial" w:cs="Arial" w:eastAsia="Arial" w:hAnsi="Arial"/>
                <w:sz w:val="16"/>
                <w:szCs w:val="16"/>
                <w:color w:val="auto"/>
              </w:rPr>
              <w:t>United States Securities and Exchange Commission</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SERC</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SERC Reliability Corporation (formerly Southeast Electric Reliability Council)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SNF</w:t>
            </w:r>
          </w:p>
        </w:tc>
        <w:tc>
          <w:tcPr>
            <w:tcW w:w="8200" w:type="dxa"/>
            <w:vAlign w:val="bottom"/>
          </w:tcPr>
          <w:p>
            <w:pPr>
              <w:ind w:left="600"/>
              <w:spacing w:after="0"/>
              <w:rPr>
                <w:sz w:val="20"/>
                <w:szCs w:val="20"/>
                <w:color w:val="auto"/>
              </w:rPr>
            </w:pPr>
            <w:r>
              <w:rPr>
                <w:rFonts w:ascii="Arial" w:cs="Arial" w:eastAsia="Arial" w:hAnsi="Arial"/>
                <w:sz w:val="16"/>
                <w:szCs w:val="16"/>
                <w:color w:val="auto"/>
              </w:rPr>
              <w:t>Spent Nuclear Fuel</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line="217" w:lineRule="exact"/>
              <w:rPr>
                <w:sz w:val="20"/>
                <w:szCs w:val="20"/>
                <w:color w:val="auto"/>
              </w:rPr>
            </w:pPr>
            <w:r>
              <w:rPr>
                <w:rFonts w:ascii="Arial" w:cs="Arial" w:eastAsia="Arial" w:hAnsi="Arial"/>
                <w:sz w:val="16"/>
                <w:szCs w:val="16"/>
                <w:i w:val="1"/>
                <w:iCs w:val="1"/>
                <w:color w:val="auto"/>
              </w:rPr>
              <w:t>SO</w:t>
            </w:r>
            <w:r>
              <w:rPr>
                <w:rFonts w:ascii="Arial" w:cs="Arial" w:eastAsia="Arial" w:hAnsi="Arial"/>
                <w:sz w:val="21"/>
                <w:szCs w:val="21"/>
                <w:i w:val="1"/>
                <w:iCs w:val="1"/>
                <w:color w:val="auto"/>
                <w:vertAlign w:val="subscript"/>
              </w:rPr>
              <w:t>2</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Sulfur dioxide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SOFR</w:t>
            </w:r>
          </w:p>
        </w:tc>
        <w:tc>
          <w:tcPr>
            <w:tcW w:w="8200" w:type="dxa"/>
            <w:vAlign w:val="bottom"/>
          </w:tcPr>
          <w:p>
            <w:pPr>
              <w:ind w:left="600"/>
              <w:spacing w:after="0"/>
              <w:rPr>
                <w:sz w:val="20"/>
                <w:szCs w:val="20"/>
                <w:color w:val="auto"/>
              </w:rPr>
            </w:pPr>
            <w:r>
              <w:rPr>
                <w:rFonts w:ascii="Arial" w:cs="Arial" w:eastAsia="Arial" w:hAnsi="Arial"/>
                <w:sz w:val="16"/>
                <w:szCs w:val="16"/>
                <w:color w:val="auto"/>
              </w:rPr>
              <w:t>Secured Overnight Financing Rate</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SPP</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Southwest Power Pool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STPNOC</w:t>
            </w:r>
          </w:p>
        </w:tc>
        <w:tc>
          <w:tcPr>
            <w:tcW w:w="8200" w:type="dxa"/>
            <w:vAlign w:val="bottom"/>
          </w:tcPr>
          <w:p>
            <w:pPr>
              <w:ind w:left="600"/>
              <w:spacing w:after="0"/>
              <w:rPr>
                <w:sz w:val="20"/>
                <w:szCs w:val="20"/>
                <w:color w:val="auto"/>
              </w:rPr>
            </w:pPr>
            <w:r>
              <w:rPr>
                <w:rFonts w:ascii="Arial" w:cs="Arial" w:eastAsia="Arial" w:hAnsi="Arial"/>
                <w:sz w:val="16"/>
                <w:szCs w:val="16"/>
                <w:color w:val="auto"/>
              </w:rPr>
              <w:t>STP Nuclear Operating Company</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TMA</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Tax Matters Agreement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TWh</w:t>
            </w:r>
          </w:p>
        </w:tc>
        <w:tc>
          <w:tcPr>
            <w:tcW w:w="8200" w:type="dxa"/>
            <w:vAlign w:val="bottom"/>
          </w:tcPr>
          <w:p>
            <w:pPr>
              <w:ind w:left="600"/>
              <w:spacing w:after="0"/>
              <w:rPr>
                <w:sz w:val="20"/>
                <w:szCs w:val="20"/>
                <w:color w:val="auto"/>
              </w:rPr>
            </w:pPr>
            <w:r>
              <w:rPr>
                <w:rFonts w:ascii="Arial" w:cs="Arial" w:eastAsia="Arial" w:hAnsi="Arial"/>
                <w:sz w:val="16"/>
                <w:szCs w:val="16"/>
                <w:color w:val="auto"/>
              </w:rPr>
              <w:t>Terawatt-hour</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U.S. Treasury</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U.S. Department of the Treasury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UEC</w:t>
            </w:r>
          </w:p>
        </w:tc>
        <w:tc>
          <w:tcPr>
            <w:tcW w:w="8200" w:type="dxa"/>
            <w:vAlign w:val="bottom"/>
          </w:tcPr>
          <w:p>
            <w:pPr>
              <w:ind w:left="600"/>
              <w:spacing w:after="0"/>
              <w:rPr>
                <w:sz w:val="20"/>
                <w:szCs w:val="20"/>
                <w:color w:val="auto"/>
              </w:rPr>
            </w:pPr>
            <w:r>
              <w:rPr>
                <w:rFonts w:ascii="Arial" w:cs="Arial" w:eastAsia="Arial" w:hAnsi="Arial"/>
                <w:sz w:val="16"/>
                <w:szCs w:val="16"/>
                <w:color w:val="auto"/>
              </w:rPr>
              <w:t>Unamortized Energy Contract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VIE</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Variable Interest Entity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i w:val="1"/>
                <w:iCs w:val="1"/>
                <w:color w:val="auto"/>
              </w:rPr>
              <w:t>WECC</w:t>
            </w:r>
          </w:p>
        </w:tc>
        <w:tc>
          <w:tcPr>
            <w:tcW w:w="8200" w:type="dxa"/>
            <w:vAlign w:val="bottom"/>
          </w:tcPr>
          <w:p>
            <w:pPr>
              <w:ind w:left="600"/>
              <w:spacing w:after="0"/>
              <w:rPr>
                <w:sz w:val="20"/>
                <w:szCs w:val="20"/>
                <w:color w:val="auto"/>
              </w:rPr>
            </w:pPr>
            <w:r>
              <w:rPr>
                <w:rFonts w:ascii="Arial" w:cs="Arial" w:eastAsia="Arial" w:hAnsi="Arial"/>
                <w:sz w:val="16"/>
                <w:szCs w:val="16"/>
                <w:color w:val="auto"/>
              </w:rPr>
              <w:t>Western Electric Coordinating Council</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ZEC</w:t>
            </w:r>
          </w:p>
        </w:tc>
        <w:tc>
          <w:tcPr>
            <w:tcW w:w="82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Zero Emission Credit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FILING FORMAT</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combined Form 10-Q is being filed separately by Constellation Energy Corporation and Constellation Energy Generation, LLC, (the Registrants). Information contained herein relating to any individual Registrant is filed by the Registrant on its own behalf. Neither Registrant makes any representation as to information relating to the other Registrant.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CAUTIONARY STATEMENTS REGARDING FORWARD-LOOKING INFORMATION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report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 These forward-looking statements include, but are not limited to, statements regarding the acquisition of Calpine Corporation, the pro forma combined company and its operations, strategies and plans, enhancements to investment-grade credit profile, synergies, opportunities and anticipated future performance and capital structure, and expected accretion to earnings per share and free cash flow. Information adjusted for the acquisition should not be considered a forecast of future results.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us include those factors discussed herein, as well as the items discussed in (1) the Registrants' combined 2025 Annual Report on Form 10-K in (a) Part I, ITEM 1A. Risk Factors, (b) Part II, ITEM 7. Management’s Discussion and Analysis of Financial Condition and Results of Operations, and (c) Part II, ITEM 8. Financial Statements and Supplementary Data: Note 18 — Commitments and Contingencies; (2) this Quarterly Report on Form 10-Q in (a) Part II, ITEM 1A. Risk Factors, (b) Part I, ITEM 2. Management’s Discussion and Analysis of Financial Condition and Results of Operations, and (c) Part I, ITEM 1. Financial Statements: Note 15 — Commitments and Contingencies; and (3) other factors discussed in filings with the SEC by the Registrants.</w:t>
      </w:r>
    </w:p>
    <w:p>
      <w:pPr>
        <w:spacing w:after="0" w:line="12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Readers are cautioned not to place undue reliance on these forward-looking statements, which apply only as of the date of this report. Neither Registrant undertakes any obligation to publicly release any revision to its forward-looking statements to reflect events or circumstances after the date of this report.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AVAILABLE INFORMATION</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SEC maintains an Internet site at www.sec.gov that contains reports, proxy and information statements, and other information that we file electronically with the SEC. We file our Annual Report on Form 10-K, Quarterly Reports on Form 10-Q, Current Reports on Form 8-K, and all amendments to those reports with the SEC. In addition, as soon as reasonably practicable after such materials are furnished to the SEC, we make copies of these documents available to the public free of charge through our website at www.ConstellationEnergy.com. Information contained on our website shall not be deemed incorporated into, or to be a part of, this Report.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 FINANCIAL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Constellation Energy Corporation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188"/>
              <w:spacing w:after="0"/>
              <w:rPr>
                <w:sz w:val="20"/>
                <w:szCs w:val="20"/>
                <w:color w:val="auto"/>
              </w:rPr>
            </w:pPr>
            <w:r>
              <w:rPr>
                <w:rFonts w:ascii="Arial" w:cs="Arial" w:eastAsia="Arial" w:hAnsi="Arial"/>
                <w:sz w:val="13"/>
                <w:szCs w:val="13"/>
                <w:b w:val="1"/>
                <w:bCs w:val="1"/>
                <w:color w:val="auto"/>
                <w:w w:val="99"/>
              </w:rPr>
              <w:t>Three Months Ended March 31,</w:t>
            </w:r>
          </w:p>
        </w:tc>
        <w:tc>
          <w:tcPr>
            <w:tcW w:w="0" w:type="dxa"/>
            <w:vAlign w:val="bottom"/>
          </w:tcPr>
          <w:p>
            <w:pPr>
              <w:spacing w:after="0"/>
              <w:rPr>
                <w:sz w:val="1"/>
                <w:szCs w:val="1"/>
                <w:color w:val="auto"/>
              </w:rPr>
            </w:pPr>
          </w:p>
        </w:tc>
      </w:tr>
      <w:tr>
        <w:trPr>
          <w:trHeight w:val="22"/>
        </w:trPr>
        <w:tc>
          <w:tcPr>
            <w:tcW w:w="8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 share data)</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49"/>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8"/>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2"/>
        </w:trPr>
        <w:tc>
          <w:tcPr>
            <w:tcW w:w="8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revenues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6,788</w:t>
            </w:r>
          </w:p>
        </w:tc>
        <w:tc>
          <w:tcPr>
            <w:tcW w:w="0" w:type="dxa"/>
            <w:vAlign w:val="bottom"/>
          </w:tcPr>
          <w:p>
            <w:pPr>
              <w:spacing w:after="0"/>
              <w:rPr>
                <w:sz w:val="1"/>
                <w:szCs w:val="1"/>
                <w:color w:val="auto"/>
              </w:rPr>
            </w:pPr>
          </w:p>
        </w:tc>
      </w:tr>
      <w:tr>
        <w:trPr>
          <w:trHeight w:val="201"/>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Purchased power and fuel</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Operating and maintenance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8"/>
        </w:trPr>
        <w:tc>
          <w:tcPr>
            <w:tcW w:w="8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Taxes other than income taxes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6,337</w:t>
            </w:r>
          </w:p>
        </w:tc>
        <w:tc>
          <w:tcPr>
            <w:tcW w:w="0" w:type="dxa"/>
            <w:vAlign w:val="bottom"/>
          </w:tcPr>
          <w:p>
            <w:pPr>
              <w:spacing w:after="0"/>
              <w:rPr>
                <w:sz w:val="1"/>
                <w:szCs w:val="1"/>
                <w:color w:val="auto"/>
              </w:rPr>
            </w:pPr>
          </w:p>
        </w:tc>
      </w:tr>
      <w:tr>
        <w:trPr>
          <w:trHeight w:val="192"/>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Gain (loss) on sales of assets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82"/>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Other income and (deductions)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 net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8"/>
        </w:trPr>
        <w:tc>
          <w:tcPr>
            <w:tcW w:w="8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other income and (deductions)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92"/>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2"/>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Equity in income (losses) of unconsolidated affiliates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2"/>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attributable to noncontrolling interests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1"/>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common shareholders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Comprehensive income (loss), net of income taxes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8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2"/>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 net of income taxes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Pension and non-pension postretirement benefit plans: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60" w:type="dxa"/>
            <w:vAlign w:val="bottom"/>
          </w:tcPr>
          <w:p>
            <w:pPr>
              <w:ind w:left="680"/>
              <w:spacing w:after="0"/>
              <w:rPr>
                <w:sz w:val="20"/>
                <w:szCs w:val="20"/>
                <w:color w:val="auto"/>
              </w:rPr>
            </w:pPr>
            <w:r>
              <w:rPr>
                <w:rFonts w:ascii="Arial" w:cs="Arial" w:eastAsia="Arial" w:hAnsi="Arial"/>
                <w:sz w:val="14"/>
                <w:szCs w:val="14"/>
                <w:color w:val="auto"/>
              </w:rPr>
              <w:t>Prior service benefit reclassified to periodic benefit cost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Actuarial loss reclassified to periodic cost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8860" w:type="dxa"/>
            <w:vAlign w:val="bottom"/>
          </w:tcPr>
          <w:p>
            <w:pPr>
              <w:ind w:left="680"/>
              <w:spacing w:after="0"/>
              <w:rPr>
                <w:sz w:val="20"/>
                <w:szCs w:val="20"/>
                <w:color w:val="auto"/>
              </w:rPr>
            </w:pPr>
            <w:r>
              <w:rPr>
                <w:rFonts w:ascii="Arial" w:cs="Arial" w:eastAsia="Arial" w:hAnsi="Arial"/>
                <w:sz w:val="14"/>
                <w:szCs w:val="14"/>
                <w:color w:val="auto"/>
              </w:rPr>
              <w:t>Pension and non-pension postretirement benefit plan valuation adjustment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Unrealized gain (loss) on cash flow hedges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8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Unrealized gain (loss) on foreign currency translation</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comprehensive income (loss), net of income taxes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1,603</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attributable to noncontrolling interests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5"/>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 attributable to common shareholders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Average shares of common stock outstanding:</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25"/>
        </w:trPr>
        <w:tc>
          <w:tcPr>
            <w:tcW w:w="8860" w:type="dxa"/>
            <w:vAlign w:val="bottom"/>
          </w:tcPr>
          <w:p>
            <w:pPr>
              <w:ind w:left="360"/>
              <w:spacing w:after="0"/>
              <w:rPr>
                <w:sz w:val="20"/>
                <w:szCs w:val="20"/>
                <w:color w:val="auto"/>
              </w:rPr>
            </w:pPr>
            <w:r>
              <w:rPr>
                <w:rFonts w:ascii="Arial" w:cs="Arial" w:eastAsia="Arial" w:hAnsi="Arial"/>
                <w:sz w:val="14"/>
                <w:szCs w:val="14"/>
                <w:color w:val="auto"/>
              </w:rPr>
              <w:t>Assumed exercise and/or distributions of stock-based awards</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1"/>
        </w:trPr>
        <w:tc>
          <w:tcPr>
            <w:tcW w:w="8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average common share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Basic</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Constellation Energy Corporation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188"/>
              <w:spacing w:after="0"/>
              <w:rPr>
                <w:sz w:val="20"/>
                <w:szCs w:val="20"/>
                <w:color w:val="auto"/>
              </w:rPr>
            </w:pPr>
            <w:r>
              <w:rPr>
                <w:rFonts w:ascii="Arial" w:cs="Arial" w:eastAsia="Arial" w:hAnsi="Arial"/>
                <w:sz w:val="13"/>
                <w:szCs w:val="13"/>
                <w:b w:val="1"/>
                <w:bCs w:val="1"/>
                <w:color w:val="auto"/>
                <w:w w:val="99"/>
              </w:rPr>
              <w:t>Three Months Ended March 31,</w:t>
            </w:r>
          </w:p>
        </w:tc>
        <w:tc>
          <w:tcPr>
            <w:tcW w:w="0" w:type="dxa"/>
            <w:vAlign w:val="bottom"/>
          </w:tcPr>
          <w:p>
            <w:pPr>
              <w:spacing w:after="0"/>
              <w:rPr>
                <w:sz w:val="1"/>
                <w:szCs w:val="1"/>
                <w:color w:val="auto"/>
              </w:rPr>
            </w:pPr>
          </w:p>
        </w:tc>
      </w:tr>
      <w:tr>
        <w:trPr>
          <w:trHeight w:val="22"/>
        </w:trPr>
        <w:tc>
          <w:tcPr>
            <w:tcW w:w="8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8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49"/>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8"/>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2"/>
        </w:trPr>
        <w:tc>
          <w:tcPr>
            <w:tcW w:w="8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86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1,603</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(loss) to net cash flows provided by (used in) operating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Depreciation, amortization, and accretion, including nuclear fuel and contract amortization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 and amortization of ITCs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Net fair value changes related to derivatives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realized and unrealized (gains) losses on NDT funds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Net realized and unrealized (gains) losses on equity investments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non-cash operating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Changes in assets and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8"/>
        </w:trPr>
        <w:tc>
          <w:tcPr>
            <w:tcW w:w="8860" w:type="dxa"/>
            <w:vAlign w:val="bottom"/>
          </w:tcPr>
          <w:p>
            <w:pPr>
              <w:ind w:left="56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8"/>
        </w:trPr>
        <w:tc>
          <w:tcPr>
            <w:tcW w:w="8860" w:type="dxa"/>
            <w:vAlign w:val="bottom"/>
          </w:tcPr>
          <w:p>
            <w:pPr>
              <w:ind w:left="560"/>
              <w:spacing w:after="0"/>
              <w:rPr>
                <w:sz w:val="20"/>
                <w:szCs w:val="20"/>
                <w:color w:val="auto"/>
              </w:rPr>
            </w:pPr>
            <w:r>
              <w:rPr>
                <w:rFonts w:ascii="Arial" w:cs="Arial" w:eastAsia="Arial" w:hAnsi="Arial"/>
                <w:sz w:val="14"/>
                <w:szCs w:val="14"/>
                <w:color w:val="auto"/>
              </w:rPr>
              <w:t>Option premiums received (paid), net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Collateral received (posted), net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98"/>
        </w:trPr>
        <w:tc>
          <w:tcPr>
            <w:tcW w:w="8860" w:type="dxa"/>
            <w:vAlign w:val="bottom"/>
          </w:tcPr>
          <w:p>
            <w:pPr>
              <w:ind w:left="56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Pension and non-pension postretirement benefit contributions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98"/>
        </w:trPr>
        <w:tc>
          <w:tcPr>
            <w:tcW w:w="886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Other assets and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flows provided by (used in) operating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2"/>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Capital expenditures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Proceeds from NDT fund sales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2,084</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Investment in NDT funds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Acquisition of Calpine, net of cash and restricted cash acquired</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flows provided by (used in) investing activities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87"/>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Change in short-term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short-term borrowings with maturities greater than 90 days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Repayments of short-term borrowings with maturities greater than 90 days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long-term debt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Retirement of long-term debt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Dividends paid on common stock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8"/>
        </w:trPr>
        <w:tc>
          <w:tcPr>
            <w:tcW w:w="8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financing activities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flows provided by (used in)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92"/>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Increase (decrease) in cash, restricted cash, and cash equivalents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(2,577)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06"/>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restricted cash, and cash equivalents at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192"/>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Cash, restricted cash, and cash equivalents at end of period</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1,171</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1,942</w:t>
            </w:r>
          </w:p>
        </w:tc>
        <w:tc>
          <w:tcPr>
            <w:tcW w:w="0" w:type="dxa"/>
            <w:vAlign w:val="bottom"/>
          </w:tcPr>
          <w:p>
            <w:pPr>
              <w:spacing w:after="0"/>
              <w:rPr>
                <w:sz w:val="1"/>
                <w:szCs w:val="1"/>
                <w:color w:val="auto"/>
              </w:rPr>
            </w:pP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for acquisition of Calpine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860" w:type="dxa"/>
            <w:vAlign w:val="bottom"/>
          </w:tcPr>
          <w:p>
            <w:pPr>
              <w:ind w:left="20"/>
              <w:spacing w:after="0"/>
              <w:rPr>
                <w:sz w:val="20"/>
                <w:szCs w:val="20"/>
                <w:color w:val="auto"/>
              </w:rPr>
            </w:pPr>
            <w:r>
              <w:rPr>
                <w:rFonts w:ascii="Arial" w:cs="Arial" w:eastAsia="Arial" w:hAnsi="Arial"/>
                <w:sz w:val="14"/>
                <w:szCs w:val="14"/>
                <w:color w:val="auto"/>
              </w:rPr>
              <w:t>Exchange of Calpine senior notes for Constellation senior notes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PP&amp;E related to ARO update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Constellation Energy Corporation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b w:val="1"/>
                <w:bCs w:val="1"/>
                <w:color w:val="auto"/>
              </w:rPr>
              <w:t>March 31, 2026</w:t>
            </w:r>
          </w:p>
        </w:tc>
        <w:tc>
          <w:tcPr>
            <w:tcW w:w="2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22"/>
        </w:trPr>
        <w:tc>
          <w:tcPr>
            <w:tcW w:w="7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100" w:type="dxa"/>
            <w:vAlign w:val="bottom"/>
            <w:shd w:val="clear" w:color="auto" w:fill="CCEEFF"/>
          </w:tcPr>
          <w:p>
            <w:pPr>
              <w:ind w:left="534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3,641</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Restricted cash and cash equivalents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4,266</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Derivative assets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1,795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Inventories, net</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Renewable energy credits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Assets held for sale</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8"/>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12,119</w:t>
            </w:r>
          </w:p>
        </w:tc>
        <w:tc>
          <w:tcPr>
            <w:tcW w:w="0" w:type="dxa"/>
            <w:vAlign w:val="bottom"/>
          </w:tcPr>
          <w:p>
            <w:pPr>
              <w:spacing w:after="0"/>
              <w:rPr>
                <w:sz w:val="1"/>
                <w:szCs w:val="1"/>
                <w:color w:val="auto"/>
              </w:rPr>
            </w:pPr>
          </w:p>
        </w:tc>
      </w:tr>
      <w:tr>
        <w:trPr>
          <w:trHeight w:val="129"/>
        </w:trPr>
        <w:tc>
          <w:tcPr>
            <w:tcW w:w="71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(net of accumulated depreciation and amortization of $19,524 and</w:t>
            </w:r>
          </w:p>
        </w:tc>
        <w:tc>
          <w:tcPr>
            <w:tcW w:w="32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40,769</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22,474</w:t>
            </w:r>
          </w:p>
        </w:tc>
        <w:tc>
          <w:tcPr>
            <w:tcW w:w="0" w:type="dxa"/>
            <w:vAlign w:val="bottom"/>
          </w:tcPr>
          <w:p>
            <w:pPr>
              <w:spacing w:after="0"/>
              <w:rPr>
                <w:sz w:val="1"/>
                <w:szCs w:val="1"/>
                <w:color w:val="auto"/>
              </w:rPr>
            </w:pPr>
          </w:p>
        </w:tc>
      </w:tr>
      <w:tr>
        <w:trPr>
          <w:trHeight w:val="113"/>
        </w:trPr>
        <w:tc>
          <w:tcPr>
            <w:tcW w:w="7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$19,072, respectively)</w:t>
            </w:r>
          </w:p>
        </w:tc>
        <w:tc>
          <w:tcPr>
            <w:tcW w:w="32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71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debits and other assets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00" w:type="dxa"/>
            <w:vAlign w:val="bottom"/>
          </w:tcPr>
          <w:p>
            <w:pPr>
              <w:ind w:left="360"/>
              <w:spacing w:after="0"/>
              <w:rPr>
                <w:sz w:val="20"/>
                <w:szCs w:val="20"/>
                <w:color w:val="auto"/>
              </w:rPr>
            </w:pPr>
            <w:r>
              <w:rPr>
                <w:rFonts w:ascii="Arial" w:cs="Arial" w:eastAsia="Arial" w:hAnsi="Arial"/>
                <w:sz w:val="14"/>
                <w:szCs w:val="14"/>
                <w:color w:val="auto"/>
              </w:rPr>
              <w:t>Nuclear decommissioning trust funds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19,366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19,336</w:t>
            </w:r>
          </w:p>
        </w:tc>
        <w:tc>
          <w:tcPr>
            <w:tcW w:w="0" w:type="dxa"/>
            <w:vAlign w:val="bottom"/>
          </w:tcPr>
          <w:p>
            <w:pPr>
              <w:spacing w:after="0"/>
              <w:rPr>
                <w:sz w:val="1"/>
                <w:szCs w:val="1"/>
                <w:color w:val="auto"/>
              </w:rPr>
            </w:pPr>
          </w:p>
        </w:tc>
      </w:tr>
      <w:tr>
        <w:trPr>
          <w:trHeight w:val="206"/>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Goodwill</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Derivative assets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2,113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2,450</w:t>
            </w:r>
          </w:p>
        </w:tc>
        <w:tc>
          <w:tcPr>
            <w:tcW w:w="0" w:type="dxa"/>
            <w:vAlign w:val="bottom"/>
          </w:tcPr>
          <w:p>
            <w:pPr>
              <w:spacing w:after="0"/>
              <w:rPr>
                <w:sz w:val="1"/>
                <w:szCs w:val="1"/>
                <w:color w:val="auto"/>
              </w:rPr>
            </w:pPr>
          </w:p>
        </w:tc>
      </w:tr>
      <w:tr>
        <w:trPr>
          <w:trHeight w:val="192"/>
        </w:trPr>
        <w:tc>
          <w:tcPr>
            <w:tcW w:w="71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deferred debits and other assets</w:t>
            </w: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38,133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22,656</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CCEEFF"/>
            </w:tcBorders>
            <w:shd w:val="clear" w:color="auto" w:fill="CCEEFF"/>
          </w:tcPr>
          <w:p>
            <w:pPr>
              <w:ind w:left="20"/>
              <w:spacing w:after="0" w:line="200" w:lineRule="exact"/>
              <w:rPr>
                <w:sz w:val="20"/>
                <w:szCs w:val="20"/>
                <w:color w:val="auto"/>
              </w:rPr>
            </w:pPr>
            <w:r>
              <w:rPr>
                <w:rFonts w:ascii="Arial" w:cs="Arial" w:eastAsia="Arial" w:hAnsi="Arial"/>
                <w:sz w:val="14"/>
                <w:szCs w:val="14"/>
                <w:b w:val="1"/>
                <w:bCs w:val="1"/>
                <w:color w:val="auto"/>
              </w:rPr>
              <w:t>Total assets</w:t>
            </w:r>
            <w:r>
              <w:rPr>
                <w:rFonts w:ascii="Arial" w:cs="Arial" w:eastAsia="Arial" w:hAnsi="Arial"/>
                <w:sz w:val="18"/>
                <w:szCs w:val="18"/>
                <w:b w:val="1"/>
                <w:bCs w:val="1"/>
                <w:color w:val="auto"/>
                <w:vertAlign w:val="superscript"/>
              </w:rPr>
              <w:t>(a)</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96,911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57,249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4740"/>
              <w:spacing w:after="0"/>
              <w:rPr>
                <w:sz w:val="20"/>
                <w:szCs w:val="20"/>
                <w:color w:val="auto"/>
              </w:rPr>
            </w:pPr>
            <w:r>
              <w:rPr>
                <w:rFonts w:ascii="Arial" w:cs="Arial" w:eastAsia="Arial" w:hAnsi="Arial"/>
                <w:sz w:val="14"/>
                <w:szCs w:val="14"/>
                <w:b w:val="1"/>
                <w:bCs w:val="1"/>
                <w:color w:val="auto"/>
              </w:rPr>
              <w:t>LIABILITIES AND EQUITY</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Short-term borrowings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Long-term debt due within one year</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Derivative liabilities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Renewable energy credit obligation</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198"/>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7,944</w:t>
            </w:r>
          </w:p>
        </w:tc>
        <w:tc>
          <w:tcPr>
            <w:tcW w:w="0" w:type="dxa"/>
            <w:vAlign w:val="bottom"/>
          </w:tcPr>
          <w:p>
            <w:pPr>
              <w:spacing w:after="0"/>
              <w:rPr>
                <w:sz w:val="1"/>
                <w:szCs w:val="1"/>
                <w:color w:val="auto"/>
              </w:rPr>
            </w:pPr>
          </w:p>
        </w:tc>
      </w:tr>
      <w:tr>
        <w:trPr>
          <w:trHeight w:val="192"/>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Long-term debt</w:t>
            </w: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16,994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7,250</w:t>
            </w:r>
          </w:p>
        </w:tc>
        <w:tc>
          <w:tcPr>
            <w:tcW w:w="0" w:type="dxa"/>
            <w:vAlign w:val="bottom"/>
          </w:tcPr>
          <w:p>
            <w:pPr>
              <w:spacing w:after="0"/>
              <w:rPr>
                <w:sz w:val="1"/>
                <w:szCs w:val="1"/>
                <w:color w:val="auto"/>
              </w:rPr>
            </w:pPr>
          </w:p>
        </w:tc>
      </w:tr>
      <w:tr>
        <w:trPr>
          <w:trHeight w:val="206"/>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credits and other liabilities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00" w:type="dxa"/>
            <w:vAlign w:val="bottom"/>
          </w:tcPr>
          <w:p>
            <w:pPr>
              <w:ind w:left="360"/>
              <w:spacing w:after="0"/>
              <w:rPr>
                <w:sz w:val="20"/>
                <w:szCs w:val="20"/>
                <w:color w:val="auto"/>
              </w:rPr>
            </w:pPr>
            <w:r>
              <w:rPr>
                <w:rFonts w:ascii="Arial" w:cs="Arial" w:eastAsia="Arial" w:hAnsi="Arial"/>
                <w:sz w:val="14"/>
                <w:szCs w:val="14"/>
                <w:color w:val="auto"/>
              </w:rPr>
              <w:t>Deferred income taxes and unamortized ITCs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8,199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3,544</w:t>
            </w:r>
          </w:p>
        </w:tc>
        <w:tc>
          <w:tcPr>
            <w:tcW w:w="0" w:type="dxa"/>
            <w:vAlign w:val="bottom"/>
          </w:tcPr>
          <w:p>
            <w:pPr>
              <w:spacing w:after="0"/>
              <w:rPr>
                <w:sz w:val="1"/>
                <w:szCs w:val="1"/>
                <w:color w:val="auto"/>
              </w:rPr>
            </w:pPr>
          </w:p>
        </w:tc>
      </w:tr>
      <w:tr>
        <w:trPr>
          <w:trHeight w:val="206"/>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Asset retirement obligations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13,193</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Pension and non-pension postretirement benefit obligations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Payables related to Regulatory Agreement Units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5,334</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Derivative liabilities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2,740</w:t>
            </w:r>
          </w:p>
        </w:tc>
        <w:tc>
          <w:tcPr>
            <w:tcW w:w="0" w:type="dxa"/>
            <w:vAlign w:val="bottom"/>
          </w:tcPr>
          <w:p>
            <w:pPr>
              <w:spacing w:after="0"/>
              <w:rPr>
                <w:sz w:val="1"/>
                <w:szCs w:val="1"/>
                <w:color w:val="auto"/>
              </w:rPr>
            </w:pPr>
          </w:p>
        </w:tc>
      </w:tr>
      <w:tr>
        <w:trPr>
          <w:trHeight w:val="192"/>
        </w:trPr>
        <w:tc>
          <w:tcPr>
            <w:tcW w:w="71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deferred credits and other liabilities</w:t>
            </w: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32,882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27,202</w:t>
            </w: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680"/>
              <w:spacing w:after="0" w:line="200" w:lineRule="exact"/>
              <w:rPr>
                <w:sz w:val="20"/>
                <w:szCs w:val="20"/>
                <w:color w:val="auto"/>
              </w:rPr>
            </w:pPr>
            <w:r>
              <w:rPr>
                <w:rFonts w:ascii="Arial" w:cs="Arial" w:eastAsia="Arial" w:hAnsi="Arial"/>
                <w:sz w:val="14"/>
                <w:szCs w:val="14"/>
                <w:color w:val="auto"/>
              </w:rPr>
              <w:t>Total liabilities</w:t>
            </w:r>
            <w:r>
              <w:rPr>
                <w:rFonts w:ascii="Arial" w:cs="Arial" w:eastAsia="Arial" w:hAnsi="Arial"/>
                <w:sz w:val="18"/>
                <w:szCs w:val="18"/>
                <w:color w:val="auto"/>
                <w:vertAlign w:val="superscript"/>
              </w:rPr>
              <w:t>(a)</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63,091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42,396</w:t>
            </w:r>
          </w:p>
        </w:tc>
        <w:tc>
          <w:tcPr>
            <w:tcW w:w="0" w:type="dxa"/>
            <w:vAlign w:val="bottom"/>
          </w:tcPr>
          <w:p>
            <w:pPr>
              <w:spacing w:after="0"/>
              <w:rPr>
                <w:sz w:val="1"/>
                <w:szCs w:val="1"/>
                <w:color w:val="auto"/>
              </w:rPr>
            </w:pPr>
          </w:p>
        </w:tc>
      </w:tr>
      <w:tr>
        <w:trPr>
          <w:trHeight w:val="182"/>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15)</w:t>
            </w: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100" w:type="dxa"/>
            <w:vAlign w:val="bottom"/>
          </w:tcPr>
          <w:p>
            <w:pPr>
              <w:ind w:left="20"/>
              <w:spacing w:after="0"/>
              <w:rPr>
                <w:sz w:val="20"/>
                <w:szCs w:val="20"/>
                <w:color w:val="auto"/>
              </w:rPr>
            </w:pPr>
            <w:r>
              <w:rPr>
                <w:rFonts w:ascii="Arial" w:cs="Arial" w:eastAsia="Arial" w:hAnsi="Arial"/>
                <w:sz w:val="14"/>
                <w:szCs w:val="14"/>
                <w:color w:val="auto"/>
              </w:rPr>
              <w:t>Common stock (No par value, 1,000 shares authorized, 362 and 312 shares outstanding, respectively)</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28,574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11,043</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Retained earnings (deficit)</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5,899</w:t>
            </w:r>
          </w:p>
        </w:tc>
        <w:tc>
          <w:tcPr>
            <w:tcW w:w="0" w:type="dxa"/>
            <w:vAlign w:val="bottom"/>
          </w:tcPr>
          <w:p>
            <w:pPr>
              <w:spacing w:after="0"/>
              <w:rPr>
                <w:sz w:val="1"/>
                <w:szCs w:val="1"/>
                <w:color w:val="auto"/>
              </w:rPr>
            </w:pPr>
          </w:p>
        </w:tc>
      </w:tr>
      <w:tr>
        <w:trPr>
          <w:trHeight w:val="198"/>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other comprehensive income (loss), net</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(2,425)</w:t>
            </w: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shareholders' equity</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33,483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14,517</w:t>
            </w:r>
          </w:p>
        </w:tc>
        <w:tc>
          <w:tcPr>
            <w:tcW w:w="0" w:type="dxa"/>
            <w:vAlign w:val="bottom"/>
          </w:tcPr>
          <w:p>
            <w:pPr>
              <w:spacing w:after="0"/>
              <w:rPr>
                <w:sz w:val="1"/>
                <w:szCs w:val="1"/>
                <w:color w:val="auto"/>
              </w:rPr>
            </w:pPr>
          </w:p>
        </w:tc>
      </w:tr>
      <w:tr>
        <w:trPr>
          <w:trHeight w:val="198"/>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Noncontrolling interests</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equity</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33,820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14,853</w:t>
            </w:r>
          </w:p>
        </w:tc>
        <w:tc>
          <w:tcPr>
            <w:tcW w:w="0" w:type="dxa"/>
            <w:vAlign w:val="bottom"/>
          </w:tcPr>
          <w:p>
            <w:pPr>
              <w:spacing w:after="0"/>
              <w:rPr>
                <w:sz w:val="1"/>
                <w:szCs w:val="1"/>
                <w:color w:val="auto"/>
              </w:rPr>
            </w:pPr>
          </w:p>
        </w:tc>
      </w:tr>
      <w:tr>
        <w:trPr>
          <w:trHeight w:val="195"/>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shareholders'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96,911</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57,249</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jc w:val="both"/>
        <w:ind w:left="340" w:hanging="332"/>
        <w:spacing w:after="0" w:line="273" w:lineRule="auto"/>
        <w:tabs>
          <w:tab w:leader="none" w:pos="327"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consolidated assets include $4,609 million and $4,551 million at March 31, 2026 and December 31, 2025, respectively, of certain VIEs that can only be used to settle the liabilities of the VIE. Our consolidated liabilities include $2,381 million and $914 million at March 31, 2026 and December 31, 2025, respectively, of certain VIEs for which the VIE creditors do not have recourse to us. See Note 17 — Variable Interest Entities for additional information.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ectPr>
          <w:pgSz w:w="11900" w:h="16838" w:orient="portrait"/>
          <w:cols w:equalWidth="0" w:num="1">
            <w:col w:w="11240"/>
          </w:cols>
          <w:pgMar w:left="320" w:top="125" w:right="3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Constellation Energy Corporation and Subsidiary Companies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March 31, 2026</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ind w:left="600"/>
              <w:spacing w:after="0"/>
              <w:rPr>
                <w:sz w:val="20"/>
                <w:szCs w:val="20"/>
                <w:color w:val="auto"/>
              </w:rPr>
            </w:pPr>
            <w:r>
              <w:rPr>
                <w:rFonts w:ascii="Arial" w:cs="Arial" w:eastAsia="Arial" w:hAnsi="Arial"/>
                <w:sz w:val="13"/>
                <w:szCs w:val="13"/>
                <w:b w:val="1"/>
                <w:bCs w:val="1"/>
                <w:color w:val="auto"/>
              </w:rPr>
              <w:t>Shareholders' Equity</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Accumulated Other</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Retained</w:t>
            </w:r>
          </w:p>
        </w:tc>
        <w:tc>
          <w:tcPr>
            <w:tcW w:w="120" w:type="dxa"/>
            <w:vAlign w:val="bottom"/>
          </w:tcPr>
          <w:p>
            <w:pPr>
              <w:spacing w:after="0"/>
              <w:rPr>
                <w:sz w:val="12"/>
                <w:szCs w:val="12"/>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Noncontrolling</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60" w:type="dxa"/>
            <w:vAlign w:val="bottom"/>
          </w:tcPr>
          <w:p>
            <w:pPr>
              <w:ind w:left="20"/>
              <w:spacing w:after="0"/>
              <w:rPr>
                <w:sz w:val="20"/>
                <w:szCs w:val="20"/>
                <w:color w:val="auto"/>
              </w:rPr>
            </w:pPr>
            <w:r>
              <w:rPr>
                <w:rFonts w:ascii="Arial" w:cs="Arial" w:eastAsia="Arial" w:hAnsi="Arial"/>
                <w:sz w:val="13"/>
                <w:szCs w:val="13"/>
                <w:b w:val="1"/>
                <w:bCs w:val="1"/>
                <w:color w:val="auto"/>
              </w:rPr>
              <w:t>(In millions, shares in thousands)</w:t>
            </w:r>
          </w:p>
        </w:tc>
        <w:tc>
          <w:tcPr>
            <w:tcW w:w="1240" w:type="dxa"/>
            <w:vAlign w:val="bottom"/>
            <w:gridSpan w:val="2"/>
          </w:tcPr>
          <w:p>
            <w:pPr>
              <w:ind w:left="120"/>
              <w:spacing w:after="0"/>
              <w:rPr>
                <w:sz w:val="20"/>
                <w:szCs w:val="20"/>
                <w:color w:val="auto"/>
              </w:rPr>
            </w:pPr>
            <w:r>
              <w:rPr>
                <w:rFonts w:ascii="Arial" w:cs="Arial" w:eastAsia="Arial" w:hAnsi="Arial"/>
                <w:sz w:val="13"/>
                <w:szCs w:val="13"/>
                <w:b w:val="1"/>
                <w:bCs w:val="1"/>
                <w:color w:val="auto"/>
              </w:rPr>
              <w:t>Issued Shares</w:t>
            </w:r>
          </w:p>
        </w:tc>
        <w:tc>
          <w:tcPr>
            <w:tcW w:w="10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2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Earnings (Deficit)</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 net</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Interests</w:t>
            </w:r>
          </w:p>
        </w:tc>
        <w:tc>
          <w:tcPr>
            <w:tcW w:w="16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22"/>
        </w:trPr>
        <w:tc>
          <w:tcPr>
            <w:tcW w:w="3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2025</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312,355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14,853</w:t>
            </w:r>
          </w:p>
        </w:tc>
        <w:tc>
          <w:tcPr>
            <w:tcW w:w="0" w:type="dxa"/>
            <w:vAlign w:val="bottom"/>
          </w:tcPr>
          <w:p>
            <w:pPr>
              <w:spacing w:after="0"/>
              <w:rPr>
                <w:sz w:val="1"/>
                <w:szCs w:val="1"/>
                <w:color w:val="auto"/>
              </w:rPr>
            </w:pPr>
          </w:p>
        </w:tc>
      </w:tr>
      <w:tr>
        <w:trPr>
          <w:trHeight w:val="198"/>
        </w:trPr>
        <w:tc>
          <w:tcPr>
            <w:tcW w:w="32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incentive plans</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8"/>
        </w:trPr>
        <w:tc>
          <w:tcPr>
            <w:tcW w:w="3260" w:type="dxa"/>
            <w:vAlign w:val="bottom"/>
          </w:tcPr>
          <w:p>
            <w:pPr>
              <w:ind w:left="20"/>
              <w:spacing w:after="0"/>
              <w:rPr>
                <w:sz w:val="20"/>
                <w:szCs w:val="20"/>
                <w:color w:val="auto"/>
              </w:rPr>
            </w:pPr>
            <w:r>
              <w:rPr>
                <w:rFonts w:ascii="Arial" w:cs="Arial" w:eastAsia="Arial" w:hAnsi="Arial"/>
                <w:sz w:val="14"/>
                <w:szCs w:val="14"/>
                <w:color w:val="auto"/>
              </w:rPr>
              <w:t>Changes in equity of noncontrolling interests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3"/>
        </w:trPr>
        <w:tc>
          <w:tcPr>
            <w:tcW w:w="32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stock dividends ($0.4265/common</w:t>
            </w: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w:t>
            </w:r>
          </w:p>
        </w:tc>
        <w:tc>
          <w:tcPr>
            <w:tcW w:w="12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260" w:type="dxa"/>
            <w:vAlign w:val="bottom"/>
          </w:tcPr>
          <w:p>
            <w:pPr>
              <w:ind w:left="20"/>
              <w:spacing w:after="0"/>
              <w:rPr>
                <w:sz w:val="20"/>
                <w:szCs w:val="20"/>
                <w:color w:val="auto"/>
              </w:rPr>
            </w:pPr>
            <w:r>
              <w:rPr>
                <w:rFonts w:ascii="Arial" w:cs="Arial" w:eastAsia="Arial" w:hAnsi="Arial"/>
                <w:sz w:val="14"/>
                <w:szCs w:val="14"/>
                <w:color w:val="auto"/>
              </w:rPr>
              <w:t>Common stock issued to acquire Calpine</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49,376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17,507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17,507</w:t>
            </w:r>
          </w:p>
        </w:tc>
        <w:tc>
          <w:tcPr>
            <w:tcW w:w="0" w:type="dxa"/>
            <w:vAlign w:val="bottom"/>
          </w:tcPr>
          <w:p>
            <w:pPr>
              <w:spacing w:after="0"/>
              <w:rPr>
                <w:sz w:val="1"/>
                <w:szCs w:val="1"/>
                <w:color w:val="auto"/>
              </w:rPr>
            </w:pPr>
          </w:p>
        </w:tc>
      </w:tr>
      <w:tr>
        <w:trPr>
          <w:trHeight w:val="225"/>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2026</w:t>
            </w:r>
          </w:p>
        </w:tc>
        <w:tc>
          <w:tcPr>
            <w:tcW w:w="1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362,359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33,820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March 31, 2025</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ind w:left="600"/>
              <w:spacing w:after="0"/>
              <w:rPr>
                <w:sz w:val="20"/>
                <w:szCs w:val="20"/>
                <w:color w:val="auto"/>
              </w:rPr>
            </w:pPr>
            <w:r>
              <w:rPr>
                <w:rFonts w:ascii="Arial" w:cs="Arial" w:eastAsia="Arial" w:hAnsi="Arial"/>
                <w:sz w:val="13"/>
                <w:szCs w:val="13"/>
                <w:b w:val="1"/>
                <w:bCs w:val="1"/>
                <w:color w:val="auto"/>
              </w:rPr>
              <w:t>Shareholders' Equity</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Accumulated Other</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Retained</w:t>
            </w: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Noncontrolling</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60" w:type="dxa"/>
            <w:vAlign w:val="bottom"/>
          </w:tcPr>
          <w:p>
            <w:pPr>
              <w:ind w:left="20"/>
              <w:spacing w:after="0"/>
              <w:rPr>
                <w:sz w:val="20"/>
                <w:szCs w:val="20"/>
                <w:color w:val="auto"/>
              </w:rPr>
            </w:pPr>
            <w:r>
              <w:rPr>
                <w:rFonts w:ascii="Arial" w:cs="Arial" w:eastAsia="Arial" w:hAnsi="Arial"/>
                <w:sz w:val="13"/>
                <w:szCs w:val="13"/>
                <w:b w:val="1"/>
                <w:bCs w:val="1"/>
                <w:color w:val="auto"/>
              </w:rPr>
              <w:t>(In millions, shares in thousands)</w:t>
            </w:r>
          </w:p>
        </w:tc>
        <w:tc>
          <w:tcPr>
            <w:tcW w:w="1240" w:type="dxa"/>
            <w:vAlign w:val="bottom"/>
            <w:gridSpan w:val="2"/>
          </w:tcPr>
          <w:p>
            <w:pPr>
              <w:ind w:left="120"/>
              <w:spacing w:after="0"/>
              <w:rPr>
                <w:sz w:val="20"/>
                <w:szCs w:val="20"/>
                <w:color w:val="auto"/>
              </w:rPr>
            </w:pPr>
            <w:r>
              <w:rPr>
                <w:rFonts w:ascii="Arial" w:cs="Arial" w:eastAsia="Arial" w:hAnsi="Arial"/>
                <w:sz w:val="13"/>
                <w:szCs w:val="13"/>
                <w:b w:val="1"/>
                <w:bCs w:val="1"/>
                <w:color w:val="auto"/>
              </w:rPr>
              <w:t>Issued Shares</w:t>
            </w:r>
          </w:p>
        </w:tc>
        <w:tc>
          <w:tcPr>
            <w:tcW w:w="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2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Earnings (Deficit)</w:t>
            </w:r>
          </w:p>
        </w:tc>
        <w:tc>
          <w:tcPr>
            <w:tcW w:w="12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 net</w:t>
            </w: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Interests</w:t>
            </w:r>
          </w:p>
        </w:tc>
        <w:tc>
          <w:tcPr>
            <w:tcW w:w="16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22"/>
        </w:trPr>
        <w:tc>
          <w:tcPr>
            <w:tcW w:w="3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2024</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312,838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13,539</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incentive plans</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8"/>
        </w:trPr>
        <w:tc>
          <w:tcPr>
            <w:tcW w:w="3260" w:type="dxa"/>
            <w:vAlign w:val="bottom"/>
          </w:tcPr>
          <w:p>
            <w:pPr>
              <w:ind w:left="20"/>
              <w:spacing w:after="0"/>
              <w:rPr>
                <w:sz w:val="20"/>
                <w:szCs w:val="20"/>
                <w:color w:val="auto"/>
              </w:rPr>
            </w:pPr>
            <w:r>
              <w:rPr>
                <w:rFonts w:ascii="Arial" w:cs="Arial" w:eastAsia="Arial" w:hAnsi="Arial"/>
                <w:sz w:val="14"/>
                <w:szCs w:val="14"/>
                <w:color w:val="auto"/>
              </w:rPr>
              <w:t>Changes in equity of noncontrolling interests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7"/>
        </w:trPr>
        <w:tc>
          <w:tcPr>
            <w:tcW w:w="32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Common stock dividends ($0.3878/common</w:t>
            </w: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5"/>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w:t>
            </w:r>
          </w:p>
        </w:tc>
        <w:tc>
          <w:tcPr>
            <w:tcW w:w="12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260" w:type="dxa"/>
            <w:vAlign w:val="bottom"/>
          </w:tcPr>
          <w:p>
            <w:pPr>
              <w:ind w:left="20"/>
              <w:spacing w:after="0"/>
              <w:rPr>
                <w:sz w:val="20"/>
                <w:szCs w:val="20"/>
                <w:color w:val="auto"/>
              </w:rPr>
            </w:pPr>
            <w:r>
              <w:rPr>
                <w:rFonts w:ascii="Arial" w:cs="Arial" w:eastAsia="Arial" w:hAnsi="Arial"/>
                <w:sz w:val="14"/>
                <w:szCs w:val="14"/>
                <w:color w:val="auto"/>
              </w:rPr>
              <w:t>Capped call option contracts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7"/>
        </w:trPr>
        <w:tc>
          <w:tcPr>
            <w:tcW w:w="32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Other comprehensive income (loss), net of income</w:t>
            </w: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5"/>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12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6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2025</w:t>
            </w:r>
          </w:p>
        </w:tc>
        <w:tc>
          <w:tcPr>
            <w:tcW w:w="1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313,385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11,203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13,334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Constellation Energy Generation, LLC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188"/>
              <w:spacing w:after="0"/>
              <w:rPr>
                <w:sz w:val="20"/>
                <w:szCs w:val="20"/>
                <w:color w:val="auto"/>
              </w:rPr>
            </w:pPr>
            <w:r>
              <w:rPr>
                <w:rFonts w:ascii="Arial" w:cs="Arial" w:eastAsia="Arial" w:hAnsi="Arial"/>
                <w:sz w:val="13"/>
                <w:szCs w:val="13"/>
                <w:b w:val="1"/>
                <w:bCs w:val="1"/>
                <w:color w:val="auto"/>
                <w:w w:val="99"/>
              </w:rPr>
              <w:t>Three Months Ended March 31,</w:t>
            </w:r>
          </w:p>
        </w:tc>
        <w:tc>
          <w:tcPr>
            <w:tcW w:w="0" w:type="dxa"/>
            <w:vAlign w:val="bottom"/>
          </w:tcPr>
          <w:p>
            <w:pPr>
              <w:spacing w:after="0"/>
              <w:rPr>
                <w:sz w:val="1"/>
                <w:szCs w:val="1"/>
                <w:color w:val="auto"/>
              </w:rPr>
            </w:pPr>
          </w:p>
        </w:tc>
      </w:tr>
      <w:tr>
        <w:trPr>
          <w:trHeight w:val="22"/>
        </w:trPr>
        <w:tc>
          <w:tcPr>
            <w:tcW w:w="8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49"/>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8"/>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2"/>
        </w:trPr>
        <w:tc>
          <w:tcPr>
            <w:tcW w:w="8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revenues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6,788</w:t>
            </w:r>
          </w:p>
        </w:tc>
        <w:tc>
          <w:tcPr>
            <w:tcW w:w="0" w:type="dxa"/>
            <w:vAlign w:val="bottom"/>
          </w:tcPr>
          <w:p>
            <w:pPr>
              <w:spacing w:after="0"/>
              <w:rPr>
                <w:sz w:val="1"/>
                <w:szCs w:val="1"/>
                <w:color w:val="auto"/>
              </w:rPr>
            </w:pPr>
          </w:p>
        </w:tc>
      </w:tr>
      <w:tr>
        <w:trPr>
          <w:trHeight w:val="201"/>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Purchased power and fuel</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Operating and maintenance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8"/>
        </w:trPr>
        <w:tc>
          <w:tcPr>
            <w:tcW w:w="8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Taxes other than income taxes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6,337</w:t>
            </w:r>
          </w:p>
        </w:tc>
        <w:tc>
          <w:tcPr>
            <w:tcW w:w="0" w:type="dxa"/>
            <w:vAlign w:val="bottom"/>
          </w:tcPr>
          <w:p>
            <w:pPr>
              <w:spacing w:after="0"/>
              <w:rPr>
                <w:sz w:val="1"/>
                <w:szCs w:val="1"/>
                <w:color w:val="auto"/>
              </w:rPr>
            </w:pPr>
          </w:p>
        </w:tc>
      </w:tr>
      <w:tr>
        <w:trPr>
          <w:trHeight w:val="192"/>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Gain (loss) on sales of assets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82"/>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Other income and (deductions)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 net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8"/>
        </w:trPr>
        <w:tc>
          <w:tcPr>
            <w:tcW w:w="8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other income and (deductions)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92"/>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2"/>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Equity in income (losses) of unconsolidated affiliates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2"/>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attributable to noncontrolling interests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membership interest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Comprehensive income (loss), net of income taxes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8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2"/>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 net of income taxes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Pension and non-pension postretirement benefit plans: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60" w:type="dxa"/>
            <w:vAlign w:val="bottom"/>
          </w:tcPr>
          <w:p>
            <w:pPr>
              <w:ind w:left="680"/>
              <w:spacing w:after="0"/>
              <w:rPr>
                <w:sz w:val="20"/>
                <w:szCs w:val="20"/>
                <w:color w:val="auto"/>
              </w:rPr>
            </w:pPr>
            <w:r>
              <w:rPr>
                <w:rFonts w:ascii="Arial" w:cs="Arial" w:eastAsia="Arial" w:hAnsi="Arial"/>
                <w:sz w:val="14"/>
                <w:szCs w:val="14"/>
                <w:color w:val="auto"/>
              </w:rPr>
              <w:t>Prior service benefit reclassified to periodic benefit cost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Actuarial loss reclassified to periodic cost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8860" w:type="dxa"/>
            <w:vAlign w:val="bottom"/>
          </w:tcPr>
          <w:p>
            <w:pPr>
              <w:ind w:left="680"/>
              <w:spacing w:after="0"/>
              <w:rPr>
                <w:sz w:val="20"/>
                <w:szCs w:val="20"/>
                <w:color w:val="auto"/>
              </w:rPr>
            </w:pPr>
            <w:r>
              <w:rPr>
                <w:rFonts w:ascii="Arial" w:cs="Arial" w:eastAsia="Arial" w:hAnsi="Arial"/>
                <w:sz w:val="14"/>
                <w:szCs w:val="14"/>
                <w:color w:val="auto"/>
              </w:rPr>
              <w:t>Pension and non-pension postretirement benefit plan valuation adjustment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Unrealized gain (loss) on cash flow hedges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8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Unrealized gain (loss) on foreign currency translation</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comprehensive income (loss), net of income taxes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1,603</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attributable to noncontrolling interests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 attributable to membership interest</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5"/>
        </w:trPr>
        <w:tc>
          <w:tcPr>
            <w:tcW w:w="8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Constellation Energy Generation, LLC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188"/>
              <w:spacing w:after="0"/>
              <w:rPr>
                <w:sz w:val="20"/>
                <w:szCs w:val="20"/>
                <w:color w:val="auto"/>
              </w:rPr>
            </w:pPr>
            <w:r>
              <w:rPr>
                <w:rFonts w:ascii="Arial" w:cs="Arial" w:eastAsia="Arial" w:hAnsi="Arial"/>
                <w:sz w:val="13"/>
                <w:szCs w:val="13"/>
                <w:b w:val="1"/>
                <w:bCs w:val="1"/>
                <w:color w:val="auto"/>
                <w:w w:val="99"/>
              </w:rPr>
              <w:t>Three Months Ended March 31,</w:t>
            </w:r>
          </w:p>
        </w:tc>
        <w:tc>
          <w:tcPr>
            <w:tcW w:w="0" w:type="dxa"/>
            <w:vAlign w:val="bottom"/>
          </w:tcPr>
          <w:p>
            <w:pPr>
              <w:spacing w:after="0"/>
              <w:rPr>
                <w:sz w:val="1"/>
                <w:szCs w:val="1"/>
                <w:color w:val="auto"/>
              </w:rPr>
            </w:pPr>
          </w:p>
        </w:tc>
      </w:tr>
      <w:tr>
        <w:trPr>
          <w:trHeight w:val="22"/>
        </w:trPr>
        <w:tc>
          <w:tcPr>
            <w:tcW w:w="8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49"/>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8"/>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2"/>
        </w:trPr>
        <w:tc>
          <w:tcPr>
            <w:tcW w:w="8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86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1,603</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(loss) to net cash flows provided by (used in) operating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Depreciation, amortization, and accretion, including nuclear fuel and contract amortization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 and amortization of ITCs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Net fair value changes related to derivatives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realized and unrealized (gains) losses on NDT funds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Net realized and unrealized (gains) losses on equity investments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non-cash operating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Changes in assets and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8"/>
        </w:trPr>
        <w:tc>
          <w:tcPr>
            <w:tcW w:w="8860" w:type="dxa"/>
            <w:vAlign w:val="bottom"/>
          </w:tcPr>
          <w:p>
            <w:pPr>
              <w:ind w:left="560"/>
              <w:spacing w:after="0"/>
              <w:rPr>
                <w:sz w:val="20"/>
                <w:szCs w:val="20"/>
                <w:color w:val="auto"/>
              </w:rPr>
            </w:pPr>
            <w:r>
              <w:rPr>
                <w:rFonts w:ascii="Arial" w:cs="Arial" w:eastAsia="Arial" w:hAnsi="Arial"/>
                <w:sz w:val="14"/>
                <w:szCs w:val="14"/>
                <w:color w:val="auto"/>
              </w:rPr>
              <w:t>Receivables from and payables to affiliates, net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8"/>
        </w:trPr>
        <w:tc>
          <w:tcPr>
            <w:tcW w:w="8860" w:type="dxa"/>
            <w:vAlign w:val="bottom"/>
          </w:tcPr>
          <w:p>
            <w:pPr>
              <w:ind w:left="56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Option premiums received (paid), net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8"/>
        </w:trPr>
        <w:tc>
          <w:tcPr>
            <w:tcW w:w="8860" w:type="dxa"/>
            <w:vAlign w:val="bottom"/>
          </w:tcPr>
          <w:p>
            <w:pPr>
              <w:ind w:left="560"/>
              <w:spacing w:after="0"/>
              <w:rPr>
                <w:sz w:val="20"/>
                <w:szCs w:val="20"/>
                <w:color w:val="auto"/>
              </w:rPr>
            </w:pPr>
            <w:r>
              <w:rPr>
                <w:rFonts w:ascii="Arial" w:cs="Arial" w:eastAsia="Arial" w:hAnsi="Arial"/>
                <w:sz w:val="14"/>
                <w:szCs w:val="14"/>
                <w:color w:val="auto"/>
              </w:rPr>
              <w:t>Collateral received (posted), net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Income taxes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8"/>
        </w:trPr>
        <w:tc>
          <w:tcPr>
            <w:tcW w:w="8860" w:type="dxa"/>
            <w:vAlign w:val="bottom"/>
          </w:tcPr>
          <w:p>
            <w:pPr>
              <w:ind w:left="560"/>
              <w:spacing w:after="0"/>
              <w:rPr>
                <w:sz w:val="20"/>
                <w:szCs w:val="20"/>
                <w:color w:val="auto"/>
              </w:rPr>
            </w:pPr>
            <w:r>
              <w:rPr>
                <w:rFonts w:ascii="Arial" w:cs="Arial" w:eastAsia="Arial" w:hAnsi="Arial"/>
                <w:sz w:val="14"/>
                <w:szCs w:val="14"/>
                <w:color w:val="auto"/>
              </w:rPr>
              <w:t>Pension and non-pension postretirement benefit contributions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Other assets and liabilities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92"/>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flows provided by (used in) operating activities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7"/>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Capital expenditures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NDT fund sales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Investment in NDT funds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(2,572)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(2,152)</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Acquisition of Calpine, net of cash and restricted cash acquired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investing activities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flows provided by (used in)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81"/>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short-term borrowings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Proceeds from short-term borrowings with maturities greater than 90 days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Repayments of short-term borrowings with maturities greater than 90 days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Issuance of long-term debt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Retirement of long-term debt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8"/>
        </w:trPr>
        <w:tc>
          <w:tcPr>
            <w:tcW w:w="8860" w:type="dxa"/>
            <w:vAlign w:val="bottom"/>
          </w:tcPr>
          <w:p>
            <w:pPr>
              <w:ind w:left="360"/>
              <w:spacing w:after="0"/>
              <w:rPr>
                <w:sz w:val="20"/>
                <w:szCs w:val="20"/>
                <w:color w:val="auto"/>
              </w:rPr>
            </w:pPr>
            <w:r>
              <w:rPr>
                <w:rFonts w:ascii="Arial" w:cs="Arial" w:eastAsia="Arial" w:hAnsi="Arial"/>
                <w:sz w:val="14"/>
                <w:szCs w:val="14"/>
                <w:color w:val="auto"/>
              </w:rPr>
              <w:t>Distributions to member</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2"/>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flows provided by (used in) financing activities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200"/>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Increase (decrease) in cash, restricted cash, and cash equivalents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201"/>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restricted cash, and cash equivalents at beginning of period</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3,115</w:t>
            </w:r>
          </w:p>
        </w:tc>
        <w:tc>
          <w:tcPr>
            <w:tcW w:w="0" w:type="dxa"/>
            <w:vAlign w:val="bottom"/>
          </w:tcPr>
          <w:p>
            <w:pPr>
              <w:spacing w:after="0"/>
              <w:rPr>
                <w:sz w:val="1"/>
                <w:szCs w:val="1"/>
                <w:color w:val="auto"/>
              </w:rPr>
            </w:pPr>
          </w:p>
        </w:tc>
      </w:tr>
      <w:tr>
        <w:trPr>
          <w:trHeight w:val="21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restricted cash, and cash equivalents at end of period</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60" w:type="dxa"/>
            <w:vAlign w:val="bottom"/>
          </w:tcPr>
          <w:p>
            <w:pPr>
              <w:ind w:left="20"/>
              <w:spacing w:after="0"/>
              <w:rPr>
                <w:sz w:val="20"/>
                <w:szCs w:val="20"/>
                <w:color w:val="auto"/>
              </w:rPr>
            </w:pPr>
            <w:r>
              <w:rPr>
                <w:rFonts w:ascii="Arial" w:cs="Arial" w:eastAsia="Arial" w:hAnsi="Arial"/>
                <w:sz w:val="14"/>
                <w:szCs w:val="14"/>
                <w:color w:val="auto"/>
              </w:rPr>
              <w:t>Acquisition of Calpine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17,503</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4"/>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Exchange of Calpine senior notes for Constellation senior notes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8860" w:type="dxa"/>
            <w:vAlign w:val="bottom"/>
          </w:tcPr>
          <w:p>
            <w:pPr>
              <w:ind w:left="20"/>
              <w:spacing w:after="0"/>
              <w:rPr>
                <w:sz w:val="20"/>
                <w:szCs w:val="20"/>
                <w:color w:val="auto"/>
              </w:rPr>
            </w:pPr>
            <w:r>
              <w:rPr>
                <w:rFonts w:ascii="Arial" w:cs="Arial" w:eastAsia="Arial" w:hAnsi="Arial"/>
                <w:sz w:val="14"/>
                <w:szCs w:val="14"/>
                <w:color w:val="auto"/>
              </w:rPr>
              <w:t>Decrease in PP&amp;E related to ARO update</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Constellation Energy Generation, LLC and Subsidiary Companies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b w:val="1"/>
                <w:bCs w:val="1"/>
                <w:color w:val="auto"/>
              </w:rPr>
              <w:t>March 31, 2026</w:t>
            </w:r>
          </w:p>
        </w:tc>
        <w:tc>
          <w:tcPr>
            <w:tcW w:w="2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22"/>
        </w:trPr>
        <w:tc>
          <w:tcPr>
            <w:tcW w:w="7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100" w:type="dxa"/>
            <w:vAlign w:val="bottom"/>
            <w:shd w:val="clear" w:color="auto" w:fill="CCEEFF"/>
          </w:tcPr>
          <w:p>
            <w:pPr>
              <w:ind w:left="534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3,641</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Restricted cash and cash equivalents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Derivative assets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1,795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Inventories, net</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Renewable energy credits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Assets held for sale</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8"/>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12,075</w:t>
            </w:r>
          </w:p>
        </w:tc>
        <w:tc>
          <w:tcPr>
            <w:tcW w:w="0" w:type="dxa"/>
            <w:vAlign w:val="bottom"/>
          </w:tcPr>
          <w:p>
            <w:pPr>
              <w:spacing w:after="0"/>
              <w:rPr>
                <w:sz w:val="1"/>
                <w:szCs w:val="1"/>
                <w:color w:val="auto"/>
              </w:rPr>
            </w:pPr>
          </w:p>
        </w:tc>
      </w:tr>
      <w:tr>
        <w:trPr>
          <w:trHeight w:val="128"/>
        </w:trPr>
        <w:tc>
          <w:tcPr>
            <w:tcW w:w="71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(net of accumulated depreciation and amortization of $19,524 and</w:t>
            </w:r>
          </w:p>
        </w:tc>
        <w:tc>
          <w:tcPr>
            <w:tcW w:w="32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40,769</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22,474</w:t>
            </w:r>
          </w:p>
        </w:tc>
        <w:tc>
          <w:tcPr>
            <w:tcW w:w="0" w:type="dxa"/>
            <w:vAlign w:val="bottom"/>
          </w:tcPr>
          <w:p>
            <w:pPr>
              <w:spacing w:after="0"/>
              <w:rPr>
                <w:sz w:val="1"/>
                <w:szCs w:val="1"/>
                <w:color w:val="auto"/>
              </w:rPr>
            </w:pPr>
          </w:p>
        </w:tc>
      </w:tr>
      <w:tr>
        <w:trPr>
          <w:trHeight w:val="113"/>
        </w:trPr>
        <w:tc>
          <w:tcPr>
            <w:tcW w:w="7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$19,072, respectively)</w:t>
            </w:r>
          </w:p>
        </w:tc>
        <w:tc>
          <w:tcPr>
            <w:tcW w:w="32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71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debits and other assets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Nuclear decommissioning trust funds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19,366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19,336</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Goodwill</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Derivative assets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2,113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2,443</w:t>
            </w:r>
          </w:p>
        </w:tc>
        <w:tc>
          <w:tcPr>
            <w:tcW w:w="0" w:type="dxa"/>
            <w:vAlign w:val="bottom"/>
          </w:tcPr>
          <w:p>
            <w:pPr>
              <w:spacing w:after="0"/>
              <w:rPr>
                <w:sz w:val="1"/>
                <w:szCs w:val="1"/>
                <w:color w:val="auto"/>
              </w:rPr>
            </w:pPr>
          </w:p>
        </w:tc>
      </w:tr>
      <w:tr>
        <w:trPr>
          <w:trHeight w:val="192"/>
        </w:trPr>
        <w:tc>
          <w:tcPr>
            <w:tcW w:w="71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deferred debits and other assets</w:t>
            </w: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22,649</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CCEEFF"/>
            </w:tcBorders>
            <w:shd w:val="clear" w:color="auto" w:fill="CCEEFF"/>
          </w:tcPr>
          <w:p>
            <w:pPr>
              <w:ind w:left="20"/>
              <w:spacing w:after="0" w:line="200" w:lineRule="exact"/>
              <w:rPr>
                <w:sz w:val="20"/>
                <w:szCs w:val="20"/>
                <w:color w:val="auto"/>
              </w:rPr>
            </w:pPr>
            <w:r>
              <w:rPr>
                <w:rFonts w:ascii="Arial" w:cs="Arial" w:eastAsia="Arial" w:hAnsi="Arial"/>
                <w:sz w:val="14"/>
                <w:szCs w:val="14"/>
                <w:b w:val="1"/>
                <w:bCs w:val="1"/>
                <w:color w:val="auto"/>
              </w:rPr>
              <w:t>Total assets</w:t>
            </w:r>
            <w:r>
              <w:rPr>
                <w:rFonts w:ascii="Arial" w:cs="Arial" w:eastAsia="Arial" w:hAnsi="Arial"/>
                <w:sz w:val="18"/>
                <w:szCs w:val="18"/>
                <w:b w:val="1"/>
                <w:bCs w:val="1"/>
                <w:color w:val="auto"/>
                <w:vertAlign w:val="superscript"/>
              </w:rPr>
              <w:t>(a)</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96,855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57,198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4740"/>
              <w:spacing w:after="0"/>
              <w:rPr>
                <w:sz w:val="20"/>
                <w:szCs w:val="20"/>
                <w:color w:val="auto"/>
              </w:rPr>
            </w:pPr>
            <w:r>
              <w:rPr>
                <w:rFonts w:ascii="Arial" w:cs="Arial" w:eastAsia="Arial" w:hAnsi="Arial"/>
                <w:sz w:val="14"/>
                <w:szCs w:val="14"/>
                <w:b w:val="1"/>
                <w:bCs w:val="1"/>
                <w:color w:val="auto"/>
              </w:rPr>
              <w:t>LIABILITIES AND EQUITY</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Short-term borrowings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Long-term debt due within one year</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4,033</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Payables to affiliates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 liabilities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Renewable energy credit obligation</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92"/>
        </w:trPr>
        <w:tc>
          <w:tcPr>
            <w:tcW w:w="71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current liabilities</w:t>
            </w: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13,190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8,040</w:t>
            </w: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Long-term debt</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7,250</w:t>
            </w:r>
          </w:p>
        </w:tc>
        <w:tc>
          <w:tcPr>
            <w:tcW w:w="0" w:type="dxa"/>
            <w:vAlign w:val="bottom"/>
          </w:tcPr>
          <w:p>
            <w:pPr>
              <w:spacing w:after="0"/>
              <w:rPr>
                <w:sz w:val="1"/>
                <w:szCs w:val="1"/>
                <w:color w:val="auto"/>
              </w:rPr>
            </w:pPr>
          </w:p>
        </w:tc>
      </w:tr>
      <w:tr>
        <w:trPr>
          <w:trHeight w:val="201"/>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Deferred credits and other liabilities</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 and unamortized ITCs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3,544</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Asset retirement obligations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12,433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13,193</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Pension and non-pension postretirement benefit obligations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4"/>
                <w:szCs w:val="14"/>
                <w:color w:val="auto"/>
              </w:rPr>
              <w:t>Payables related to Regulatory Agreement Units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5,389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5,334</w:t>
            </w: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 liabilities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98"/>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deferred credits and other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32,839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27,045</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tcPr>
          <w:p>
            <w:pPr>
              <w:ind w:left="680"/>
              <w:spacing w:after="0" w:line="196" w:lineRule="exact"/>
              <w:rPr>
                <w:sz w:val="20"/>
                <w:szCs w:val="20"/>
                <w:color w:val="auto"/>
              </w:rPr>
            </w:pPr>
            <w:r>
              <w:rPr>
                <w:rFonts w:ascii="Arial" w:cs="Arial" w:eastAsia="Arial" w:hAnsi="Arial"/>
                <w:sz w:val="14"/>
                <w:szCs w:val="14"/>
                <w:color w:val="auto"/>
              </w:rPr>
              <w:t>Total liabilities</w:t>
            </w:r>
            <w:r>
              <w:rPr>
                <w:rFonts w:ascii="Arial" w:cs="Arial" w:eastAsia="Arial" w:hAnsi="Arial"/>
                <w:sz w:val="18"/>
                <w:szCs w:val="18"/>
                <w:color w:val="auto"/>
                <w:vertAlign w:val="superscript"/>
              </w:rPr>
              <w:t>(a)</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42,335</w:t>
            </w:r>
          </w:p>
        </w:tc>
        <w:tc>
          <w:tcPr>
            <w:tcW w:w="0" w:type="dxa"/>
            <w:vAlign w:val="bottom"/>
          </w:tcPr>
          <w:p>
            <w:pPr>
              <w:spacing w:after="0"/>
              <w:rPr>
                <w:sz w:val="1"/>
                <w:szCs w:val="1"/>
                <w:color w:val="auto"/>
              </w:rPr>
            </w:pPr>
          </w:p>
        </w:tc>
      </w:tr>
      <w:tr>
        <w:trPr>
          <w:trHeight w:val="183"/>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 (Note 15)</w:t>
            </w:r>
          </w:p>
        </w:tc>
        <w:tc>
          <w:tcPr>
            <w:tcW w:w="3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Member’s equity</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00" w:type="dxa"/>
            <w:vAlign w:val="bottom"/>
          </w:tcPr>
          <w:p>
            <w:pPr>
              <w:ind w:left="680"/>
              <w:spacing w:after="0"/>
              <w:rPr>
                <w:sz w:val="20"/>
                <w:szCs w:val="20"/>
                <w:color w:val="auto"/>
              </w:rPr>
            </w:pPr>
            <w:r>
              <w:rPr>
                <w:rFonts w:ascii="Arial" w:cs="Arial" w:eastAsia="Arial" w:hAnsi="Arial"/>
                <w:sz w:val="14"/>
                <w:szCs w:val="14"/>
                <w:color w:val="auto"/>
              </w:rPr>
              <w:t>Membership interest</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27,677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10,144</w:t>
            </w:r>
          </w:p>
        </w:tc>
        <w:tc>
          <w:tcPr>
            <w:tcW w:w="0" w:type="dxa"/>
            <w:vAlign w:val="bottom"/>
          </w:tcPr>
          <w:p>
            <w:pPr>
              <w:spacing w:after="0"/>
              <w:rPr>
                <w:sz w:val="1"/>
                <w:szCs w:val="1"/>
                <w:color w:val="auto"/>
              </w:rPr>
            </w:pPr>
          </w:p>
        </w:tc>
      </w:tr>
      <w:tr>
        <w:trPr>
          <w:trHeight w:val="206"/>
        </w:trPr>
        <w:tc>
          <w:tcPr>
            <w:tcW w:w="7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Undistributed earnings (deficit)</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6,808</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Accumulated other comprehensive income (loss), net</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(2,425)</w:t>
            </w: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member’s equity</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33,495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14,527</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Noncontrolling interests</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equity</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33,832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14,863</w:t>
            </w:r>
          </w:p>
        </w:tc>
        <w:tc>
          <w:tcPr>
            <w:tcW w:w="0" w:type="dxa"/>
            <w:vAlign w:val="bottom"/>
          </w:tcPr>
          <w:p>
            <w:pPr>
              <w:spacing w:after="0"/>
              <w:rPr>
                <w:sz w:val="1"/>
                <w:szCs w:val="1"/>
                <w:color w:val="auto"/>
              </w:rPr>
            </w:pPr>
          </w:p>
        </w:tc>
      </w:tr>
      <w:tr>
        <w:trPr>
          <w:trHeight w:val="195"/>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96,855</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57,198</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jc w:val="both"/>
        <w:ind w:left="340" w:hanging="332"/>
        <w:spacing w:after="0" w:line="273" w:lineRule="auto"/>
        <w:tabs>
          <w:tab w:leader="none" w:pos="327"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consolidated assets include $4,609 million and $4,551 million as of March 31, 2026 and December 31, 2025, respectively, of certain VIEs that can only be used to settle the liabilities of the VIE. Our consolidated liabilities include $2,381 million and $914 million as of March 31, 2026 and December 31, 2025, respectively, of certain VIEs for which the VIE creditors do not have recourse to us. See Note 17 — Variable Interest Entities for additional information.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ectPr>
          <w:pgSz w:w="11900" w:h="16838" w:orient="portrait"/>
          <w:cols w:equalWidth="0" w:num="1">
            <w:col w:w="11240"/>
          </w:cols>
          <w:pgMar w:left="320" w:top="125" w:right="3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Constellation Energy Generation, LLC and Subsidiary Companies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60" w:type="dxa"/>
            <w:vAlign w:val="bottom"/>
            <w:gridSpan w:val="8"/>
          </w:tcPr>
          <w:p>
            <w:pPr>
              <w:ind w:left="1020"/>
              <w:spacing w:after="0"/>
              <w:rPr>
                <w:sz w:val="20"/>
                <w:szCs w:val="20"/>
                <w:color w:val="auto"/>
              </w:rPr>
            </w:pPr>
            <w:r>
              <w:rPr>
                <w:rFonts w:ascii="Arial" w:cs="Arial" w:eastAsia="Arial" w:hAnsi="Arial"/>
                <w:sz w:val="13"/>
                <w:szCs w:val="13"/>
                <w:b w:val="1"/>
                <w:bCs w:val="1"/>
                <w:color w:val="auto"/>
              </w:rPr>
              <w:t>Three Months Ended March 31, 2026</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
        </w:trPr>
        <w:tc>
          <w:tcPr>
            <w:tcW w:w="3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4"/>
        </w:trPr>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b w:val="1"/>
                <w:bCs w:val="1"/>
                <w:color w:val="auto"/>
              </w:rPr>
              <w:t>Member's Equity</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
        </w:trPr>
        <w:tc>
          <w:tcPr>
            <w:tcW w:w="3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3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Accumulated Other</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8"/>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Undistributed</w:t>
            </w:r>
          </w:p>
        </w:tc>
        <w:tc>
          <w:tcPr>
            <w:tcW w:w="120" w:type="dxa"/>
            <w:vAlign w:val="bottom"/>
          </w:tcPr>
          <w:p>
            <w:pPr>
              <w:spacing w:after="0"/>
              <w:rPr>
                <w:sz w:val="12"/>
                <w:szCs w:val="1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Comprehensive</w:t>
            </w:r>
          </w:p>
        </w:tc>
        <w:tc>
          <w:tcPr>
            <w:tcW w:w="2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Noncontrolling</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5"/>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Arial" w:cs="Arial" w:eastAsia="Arial" w:hAnsi="Arial"/>
                <w:sz w:val="13"/>
                <w:szCs w:val="13"/>
                <w:b w:val="1"/>
                <w:bCs w:val="1"/>
                <w:color w:val="auto"/>
              </w:rPr>
              <w:t>Membership Interest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Earnings (Deficit)</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 net</w:t>
            </w: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Interests</w:t>
            </w:r>
          </w:p>
        </w:tc>
        <w:tc>
          <w:tcPr>
            <w:tcW w:w="220" w:type="dxa"/>
            <w:vAlign w:val="bottom"/>
          </w:tcPr>
          <w:p>
            <w:pPr>
              <w:spacing w:after="0"/>
              <w:rPr>
                <w:sz w:val="16"/>
                <w:szCs w:val="16"/>
                <w:color w:val="auto"/>
              </w:rPr>
            </w:pPr>
          </w:p>
        </w:tc>
        <w:tc>
          <w:tcPr>
            <w:tcW w:w="112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 Equity</w:t>
            </w:r>
          </w:p>
        </w:tc>
      </w:tr>
      <w:tr>
        <w:trPr>
          <w:trHeight w:val="22"/>
        </w:trPr>
        <w:tc>
          <w:tcPr>
            <w:tcW w:w="3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2025</w:t>
            </w:r>
          </w:p>
        </w:tc>
        <w:tc>
          <w:tcPr>
            <w:tcW w:w="480" w:type="dxa"/>
            <w:vAlign w:val="bottom"/>
            <w:gridSpan w:val="2"/>
            <w:shd w:val="clear" w:color="auto" w:fill="CCEEFF"/>
          </w:tcPr>
          <w:p>
            <w:pPr>
              <w:jc w:val="right"/>
              <w:ind w:right="317"/>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6,808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14,863</w:t>
            </w:r>
          </w:p>
        </w:tc>
      </w:tr>
      <w:tr>
        <w:trPr>
          <w:trHeight w:val="198"/>
        </w:trPr>
        <w:tc>
          <w:tcPr>
            <w:tcW w:w="38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1,603</w:t>
            </w: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equity of noncontrolling interests</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8"/>
        </w:trPr>
        <w:tc>
          <w:tcPr>
            <w:tcW w:w="3800" w:type="dxa"/>
            <w:vAlign w:val="bottom"/>
          </w:tcPr>
          <w:p>
            <w:pPr>
              <w:ind w:left="20"/>
              <w:spacing w:after="0"/>
              <w:rPr>
                <w:sz w:val="20"/>
                <w:szCs w:val="20"/>
                <w:color w:val="auto"/>
              </w:rPr>
            </w:pPr>
            <w:r>
              <w:rPr>
                <w:rFonts w:ascii="Arial" w:cs="Arial" w:eastAsia="Arial" w:hAnsi="Arial"/>
                <w:sz w:val="14"/>
                <w:szCs w:val="14"/>
                <w:color w:val="auto"/>
              </w:rPr>
              <w:t>Distributions to member</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 from member</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98"/>
        </w:trPr>
        <w:tc>
          <w:tcPr>
            <w:tcW w:w="3800" w:type="dxa"/>
            <w:vAlign w:val="bottom"/>
          </w:tcPr>
          <w:p>
            <w:pPr>
              <w:ind w:left="20"/>
              <w:spacing w:after="0"/>
              <w:rPr>
                <w:sz w:val="20"/>
                <w:szCs w:val="20"/>
                <w:color w:val="auto"/>
              </w:rPr>
            </w:pPr>
            <w:r>
              <w:rPr>
                <w:rFonts w:ascii="Arial" w:cs="Arial" w:eastAsia="Arial" w:hAnsi="Arial"/>
                <w:sz w:val="14"/>
                <w:szCs w:val="14"/>
                <w:color w:val="auto"/>
              </w:rPr>
              <w:t>Acquisition of Calpine</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17,503</w:t>
            </w:r>
          </w:p>
        </w:tc>
      </w:tr>
      <w:tr>
        <w:trPr>
          <w:trHeight w:val="225"/>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2026</w:t>
            </w:r>
          </w:p>
        </w:tc>
        <w:tc>
          <w:tcPr>
            <w:tcW w:w="480" w:type="dxa"/>
            <w:vAlign w:val="bottom"/>
            <w:tcBorders>
              <w:top w:val="single" w:sz="8" w:color="auto"/>
              <w:bottom w:val="single" w:sz="8" w:color="auto"/>
            </w:tcBorders>
            <w:gridSpan w:val="2"/>
            <w:shd w:val="clear" w:color="auto" w:fill="CCEEFF"/>
          </w:tcPr>
          <w:p>
            <w:pPr>
              <w:jc w:val="right"/>
              <w:ind w:right="317"/>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27,677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8,243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33,832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73"/>
        </w:trPr>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gridSpan w:val="8"/>
          </w:tcPr>
          <w:p>
            <w:pPr>
              <w:ind w:left="1020"/>
              <w:spacing w:after="0"/>
              <w:rPr>
                <w:sz w:val="20"/>
                <w:szCs w:val="20"/>
                <w:color w:val="auto"/>
              </w:rPr>
            </w:pPr>
            <w:r>
              <w:rPr>
                <w:rFonts w:ascii="Arial" w:cs="Arial" w:eastAsia="Arial" w:hAnsi="Arial"/>
                <w:sz w:val="13"/>
                <w:szCs w:val="13"/>
                <w:b w:val="1"/>
                <w:bCs w:val="1"/>
                <w:color w:val="auto"/>
              </w:rPr>
              <w:t>Three Months Ended March 31, 2025</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5"/>
        </w:trPr>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b w:val="1"/>
                <w:bCs w:val="1"/>
                <w:color w:val="auto"/>
              </w:rPr>
              <w:t>Member's Equity</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3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Accumulated Other</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Undistributed</w:t>
            </w:r>
          </w:p>
        </w:tc>
        <w:tc>
          <w:tcPr>
            <w:tcW w:w="12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Comprehensive</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Noncontrolling</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0" w:type="dxa"/>
            <w:vAlign w:val="bottom"/>
          </w:tcPr>
          <w:p>
            <w:pPr>
              <w:spacing w:after="0"/>
              <w:rPr>
                <w:sz w:val="14"/>
                <w:szCs w:val="14"/>
                <w:color w:val="auto"/>
              </w:rPr>
            </w:pPr>
          </w:p>
        </w:tc>
        <w:tc>
          <w:tcPr>
            <w:tcW w:w="1440" w:type="dxa"/>
            <w:vAlign w:val="bottom"/>
            <w:gridSpan w:val="4"/>
          </w:tcPr>
          <w:p>
            <w:pPr>
              <w:ind w:left="60"/>
              <w:spacing w:after="0"/>
              <w:rPr>
                <w:sz w:val="20"/>
                <w:szCs w:val="20"/>
                <w:color w:val="auto"/>
              </w:rPr>
            </w:pPr>
            <w:r>
              <w:rPr>
                <w:rFonts w:ascii="Arial" w:cs="Arial" w:eastAsia="Arial" w:hAnsi="Arial"/>
                <w:sz w:val="13"/>
                <w:szCs w:val="13"/>
                <w:b w:val="1"/>
                <w:bCs w:val="1"/>
                <w:color w:val="auto"/>
              </w:rPr>
              <w:t>Membership Interest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Earnings (Deficit)</w:t>
            </w:r>
          </w:p>
        </w:tc>
        <w:tc>
          <w:tcPr>
            <w:tcW w:w="12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 net</w:t>
            </w: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Interests</w:t>
            </w:r>
          </w:p>
        </w:tc>
        <w:tc>
          <w:tcPr>
            <w:tcW w:w="220" w:type="dxa"/>
            <w:vAlign w:val="bottom"/>
          </w:tcPr>
          <w:p>
            <w:pPr>
              <w:spacing w:after="0"/>
              <w:rPr>
                <w:sz w:val="14"/>
                <w:szCs w:val="14"/>
                <w:color w:val="auto"/>
              </w:rPr>
            </w:pPr>
          </w:p>
        </w:tc>
        <w:tc>
          <w:tcPr>
            <w:tcW w:w="112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 Equity</w:t>
            </w:r>
          </w:p>
        </w:tc>
      </w:tr>
      <w:tr>
        <w:trPr>
          <w:trHeight w:val="22"/>
        </w:trPr>
        <w:tc>
          <w:tcPr>
            <w:tcW w:w="3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2024</w:t>
            </w:r>
          </w:p>
        </w:tc>
        <w:tc>
          <w:tcPr>
            <w:tcW w:w="480" w:type="dxa"/>
            <w:vAlign w:val="bottom"/>
            <w:gridSpan w:val="2"/>
            <w:shd w:val="clear" w:color="auto" w:fill="CCEEFF"/>
          </w:tcPr>
          <w:p>
            <w:pPr>
              <w:jc w:val="right"/>
              <w:ind w:right="297"/>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4,974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13,583</w:t>
            </w:r>
          </w:p>
        </w:tc>
      </w:tr>
      <w:tr>
        <w:trPr>
          <w:trHeight w:val="198"/>
        </w:trPr>
        <w:tc>
          <w:tcPr>
            <w:tcW w:w="38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06"/>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equity of noncontrolling interests</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3800" w:type="dxa"/>
            <w:vAlign w:val="bottom"/>
          </w:tcPr>
          <w:p>
            <w:pPr>
              <w:ind w:left="20"/>
              <w:spacing w:after="0"/>
              <w:rPr>
                <w:sz w:val="20"/>
                <w:szCs w:val="20"/>
                <w:color w:val="auto"/>
              </w:rPr>
            </w:pPr>
            <w:r>
              <w:rPr>
                <w:rFonts w:ascii="Arial" w:cs="Arial" w:eastAsia="Arial" w:hAnsi="Arial"/>
                <w:sz w:val="14"/>
                <w:szCs w:val="14"/>
                <w:color w:val="auto"/>
              </w:rPr>
              <w:t>Distributions to member</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203"/>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income taxes</w:t>
            </w: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00"/>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2025</w:t>
            </w:r>
          </w:p>
        </w:tc>
        <w:tc>
          <w:tcPr>
            <w:tcW w:w="480" w:type="dxa"/>
            <w:vAlign w:val="bottom"/>
            <w:gridSpan w:val="2"/>
          </w:tcPr>
          <w:p>
            <w:pPr>
              <w:jc w:val="right"/>
              <w:ind w:right="297"/>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10,388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4,970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(2,309)</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13,427</w:t>
            </w: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165" w:lineRule="exact"/>
        <w:rPr>
          <w:sz w:val="20"/>
          <w:szCs w:val="20"/>
          <w:color w:val="auto"/>
        </w:rPr>
      </w:pPr>
    </w:p>
    <w:p>
      <w:pPr>
        <w:jc w:val="both"/>
        <w:ind w:right="9380" w:firstLine="8"/>
        <w:spacing w:after="0" w:line="466"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Description of Business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the nation's largest producer of clean and reliable energy and a leading supplier of energy products and services. Our fleet of generation assets includes nuclear, natural gas, oil, hydroelectric, geothermal, wind, and solar facilities. Through our integrated business operations, we sell electricity, natural gas, and other energy-related products and sustainable solutions to various types of customers, including distribution utilities, municipalities, cooperatives, and commercial, industrial, public sector, and residential customers in markets across multiple geographic regions. We have six reportable segments: Mid-Atlantic, Midwest, New York, ERCOT, Other Power Regions, and Calpine.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accompanying Consolidated Financial Statements as of March 31, 2026 and for the three months ended March 31, 2026 and 2025 are unaudited but, in our opinion, include all adjustments that are considered necessary for a fair statement of the results for the periods reported herein in accordance with GAAP. All adjustments are of a normal, recurring nature, unless otherwise disclosed. The Consolidated Financial Statements include the accounts of our subsidiaries and all intercompany transactions have been eliminated in consolidation. Our December 31, 2025 Consolidated Balance Sheet was derived from audited financial statements. The interim financial statements are to be read in conjunction with prior annual financial statements and notes. Financial results for interim periods are not necessarily indicative of results that may be expected for any other interim period or for the fiscal year ending December 31, 2026. These Combined Notes to Consolidated Financial Statements have been prepared pursuant to the rules and regulations of the SEC for Quarterly Reports on Form 10-Q. Certain information and note disclosures normally included in financial statements prepared in accordance with GAAP have been condensed or omitted pursuant to such rules and regulations. Certain prior period amounts have been reclassified to conform to the presentation in the current period. Amounts disclosed relate to CEG Parent and Constellation unless specifically noted as relating to CEG Parent only. Unless otherwise indicated or the context otherwise requires, references herein to the terms “we,” “us,” and “our” refer collectively to CEG Parent and Constellation.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See Note 1 — Basis of Presentation of our 2025 Form 10-K for additional information on significant accounting policies.</w:t>
      </w:r>
    </w:p>
    <w:p>
      <w:pPr>
        <w:spacing w:after="0" w:line="167" w:lineRule="exact"/>
        <w:rPr>
          <w:sz w:val="20"/>
          <w:szCs w:val="20"/>
          <w:color w:val="auto"/>
        </w:rPr>
      </w:pPr>
    </w:p>
    <w:p>
      <w:pPr>
        <w:ind w:right="7960" w:firstLine="8"/>
        <w:spacing w:after="0" w:line="466"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Mergers, Acquisitions, and Dispositions Acquisition of Calpine Corporation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January 7, 2026 (the “Acquisition Date”), we acquired all of the outstanding equity interests in Calpine in a cash and stock transaction. Pursuant to the Merger Agreement and related transaction steps, Calpine was converted into a limited liability company, Calpine LLC, and became a wholly owned subsidiary of Constellation.</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acquisition is complementary to, and aligns strategically with, our existing business operations and provides both increased scale and meaningful market diversification. The merger couples the largest producer of clean, emissions-free energy with the reliable, dispatchable natural gas assets of Calpine, and also creates the nation’s leading competitive retail electric supplier, providing increased scale, diversification and complementary capabilities that enable us to meet growing demand with a broad array of energy and sustainability products. The addition of Calpine strengthens our essential role in providing clean, reliable energy as the nation seeks to transition to a more sustainable future, and will improve our position to pursue investments in new and existing technologies to meet growing demand.</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merger consideration consisted of 50 million newly issued shares of our common stock, no par value, and approximately $4.5 billion in cash. In connection with the merger, certain of the newly issued shares will be subject to a lock-up period, which expires on June 30, 2026, for 50% of the shares and on June 30, 2027, for the remaining 50%.</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Note 2 — Mergers,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Calpine operates a competitive retail electric supplier platform serving approximately 62 TWhs of load annually. Calpine also owns and operates a generation fleet of natural gas, oil, geothermal, battery storage, and solar assets with approximately 23 GWs of generation capacity, after considering divestitures required by certain regulatory approvals for the transaction. The final regulatory clearance for the merger was the DOJ resolution, which requires the divestiture of five generating assets located in PJM, one in ERCOT, and Calpine's minority interest in the Gregory Power Plant, also in ERCOT. The DOJ resolution requires us to enter into definitive agreement(s) to divest these assets within 240 days of closing the acquisition, by September 4, 2026.</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transaction was accounted for as a business combination using the acquisition method of accounting where we are considered the acquirer for accounting purposes. We recognized the identifiable assets acquired and liabilities assumed at their estimated fair values as of January 7, 2026, with any excess of the consideration transferred over the fair value of net identifiable assets recognized as goodwill.</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January 2026, we completed the divestiture of Calpine's minority ownership interest in the Gregory Power Plant, as required under the terms of the DOJ resolution. In March 2026, we entered into an agreement with LS Power Equity Advisors, LLC ("LS Power") whereby we will sell five generation assets in PJM to LS Power, which comprise approximately 4.4 GW of predominantly natural gas-fired generation capacity located in Delaware and Pennsylvania, for aggregate consideration of $5.0 billion before closing adjustments. Closing of the sale is subject to receipt of applicable regulatory approvals, including review by the DOJ and FERC, and other customary closing conditions. We are taking steps to divest the ERCOT plant, the last asset sale required to satisfy our regulatory commitments under the merger. Certain of the generation assets being sold are currently secured under project financing arrangements, see Note 13 — Debt and Credit Agreements for additional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Consideration Transferred</w:t>
      </w:r>
    </w:p>
    <w:p>
      <w:pPr>
        <w:spacing w:after="0" w:line="16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summarizes the components of the total merger consideration transferred. There was no contingent consideration associated with the acquisition.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720" w:type="dxa"/>
            <w:vAlign w:val="bottom"/>
          </w:tcPr>
          <w:p>
            <w:pPr>
              <w:ind w:left="20"/>
              <w:spacing w:after="0"/>
              <w:rPr>
                <w:sz w:val="20"/>
                <w:szCs w:val="20"/>
                <w:color w:val="auto"/>
              </w:rPr>
            </w:pPr>
            <w:r>
              <w:rPr>
                <w:rFonts w:ascii="Arial" w:cs="Arial" w:eastAsia="Arial" w:hAnsi="Arial"/>
                <w:sz w:val="16"/>
                <w:szCs w:val="16"/>
                <w:color w:val="auto"/>
              </w:rPr>
              <w:t>Fair value of CEG Parent common stock issued</w:t>
            </w:r>
            <w:r>
              <w:rPr>
                <w:rFonts w:ascii="Arial" w:cs="Arial" w:eastAsia="Arial" w:hAnsi="Arial"/>
                <w:sz w:val="21"/>
                <w:szCs w:val="21"/>
                <w:color w:val="auto"/>
                <w:vertAlign w:val="superscript"/>
              </w:rPr>
              <w:t>(a)</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17,603</w:t>
            </w:r>
          </w:p>
        </w:tc>
      </w:t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consideration</w:t>
            </w:r>
            <w:r>
              <w:rPr>
                <w:rFonts w:ascii="Arial" w:cs="Arial" w:eastAsia="Arial" w:hAnsi="Arial"/>
                <w:sz w:val="21"/>
                <w:szCs w:val="21"/>
                <w:color w:val="auto"/>
                <w:vertAlign w:val="superscript"/>
              </w:rPr>
              <w:t>(b)</w:t>
            </w:r>
          </w:p>
        </w:tc>
        <w:tc>
          <w:tcPr>
            <w:tcW w:w="10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w:t>
            </w:r>
          </w:p>
        </w:tc>
      </w:tr>
      <w:tr>
        <w:trPr>
          <w:trHeight w:val="243"/>
        </w:trPr>
        <w:tc>
          <w:tcPr>
            <w:tcW w:w="8720" w:type="dxa"/>
            <w:vAlign w:val="bottom"/>
          </w:tcPr>
          <w:p>
            <w:pPr>
              <w:ind w:left="20"/>
              <w:spacing w:after="0"/>
              <w:rPr>
                <w:sz w:val="20"/>
                <w:szCs w:val="20"/>
                <w:color w:val="auto"/>
              </w:rPr>
            </w:pPr>
            <w:r>
              <w:rPr>
                <w:rFonts w:ascii="Arial" w:cs="Arial" w:eastAsia="Arial" w:hAnsi="Arial"/>
                <w:sz w:val="16"/>
                <w:szCs w:val="16"/>
                <w:color w:val="auto"/>
              </w:rPr>
              <w:t>Fair value of common stock subject to vesting period attributable to post-combination expense</w:t>
            </w:r>
            <w:r>
              <w:rPr>
                <w:rFonts w:ascii="Arial" w:cs="Arial" w:eastAsia="Arial" w:hAnsi="Arial"/>
                <w:sz w:val="21"/>
                <w:szCs w:val="21"/>
                <w:color w:val="auto"/>
                <w:vertAlign w:val="superscript"/>
              </w:rPr>
              <w:t>(c)</w:t>
            </w:r>
          </w:p>
        </w:tc>
        <w:tc>
          <w:tcPr>
            <w:tcW w:w="10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3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settlement of preexisting relationships</w:t>
            </w:r>
          </w:p>
        </w:tc>
        <w:tc>
          <w:tcPr>
            <w:tcW w:w="10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8720" w:type="dxa"/>
            <w:vAlign w:val="bottom"/>
          </w:tcPr>
          <w:p>
            <w:pPr>
              <w:ind w:left="20"/>
              <w:spacing w:after="0"/>
              <w:rPr>
                <w:sz w:val="20"/>
                <w:szCs w:val="20"/>
                <w:color w:val="auto"/>
              </w:rPr>
            </w:pPr>
            <w:r>
              <w:rPr>
                <w:rFonts w:ascii="Arial" w:cs="Arial" w:eastAsia="Arial" w:hAnsi="Arial"/>
                <w:sz w:val="16"/>
                <w:szCs w:val="16"/>
                <w:color w:val="auto"/>
              </w:rPr>
              <w:t>Total merger consideration</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21,835</w:t>
            </w:r>
          </w:p>
        </w:tc>
      </w:tr>
      <w:tr>
        <w:trPr>
          <w:trHeight w:val="20"/>
        </w:trPr>
        <w:tc>
          <w:tcPr>
            <w:tcW w:w="8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jc w:val="both"/>
        <w:ind w:left="340" w:hanging="332"/>
        <w:spacing w:after="0" w:line="255"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the fair value of approximately 50 million shares of CEG Parent common stock issued in connection with the acquisition, calculated using CEG Parent’s closing stock price of $354.58 on January 6, 2026, the last trading day prior to the Acquisition Date. The fair value of the stock consideration is based on an observable market price and represents a Level 1 fair value measurement.</w:t>
      </w:r>
    </w:p>
    <w:p>
      <w:pPr>
        <w:ind w:left="340" w:hanging="332"/>
        <w:spacing w:after="0" w:line="261"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cash paid to Calpine shareholders in connection with the acquisition. The amount reflects the $4.5 billion base cash consideration per the Merger Agreement, reduced by certain adjustments based on contractual terms also specified in the Merger Agreement.</w:t>
      </w:r>
    </w:p>
    <w:p>
      <w:pPr>
        <w:jc w:val="both"/>
        <w:ind w:left="340" w:hanging="332"/>
        <w:spacing w:after="0" w:line="262"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Certain CEG Parent common stock issued to Calpine employees in exchange for their equity interests is subject to a vesting period of up to 26 months and has been excluded from merger consideration. These amounts will be recognized as stock-based compensation expense over the applicable vesting period in accordance with authoritative guidance.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Note 2 — Mergers,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Price Allocation</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table presents the preliminary allocation of the total merger consideration to the identifiable assets acquired and liabilities assumed as of the Acquisition Date. The allocation is preliminary and subject to revision during the measurement period, which will not exceed one year from the Acquisition Date. Adjustments to provisional amounts will be recognized in the reporting period in which they are identified, with a corresponding adjustment to goodwill.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20" w:type="dxa"/>
            <w:vAlign w:val="bottom"/>
          </w:tcPr>
          <w:p>
            <w:pPr>
              <w:ind w:left="20"/>
              <w:spacing w:after="0"/>
              <w:rPr>
                <w:sz w:val="20"/>
                <w:szCs w:val="20"/>
                <w:color w:val="auto"/>
              </w:rPr>
            </w:pPr>
            <w:r>
              <w:rPr>
                <w:rFonts w:ascii="Arial" w:cs="Arial" w:eastAsia="Arial" w:hAnsi="Arial"/>
                <w:sz w:val="16"/>
                <w:szCs w:val="16"/>
                <w:color w:val="auto"/>
              </w:rPr>
              <w:t>Assets acquired:</w:t>
            </w:r>
          </w:p>
        </w:tc>
        <w:tc>
          <w:tcPr>
            <w:tcW w:w="10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w:t>
            </w:r>
          </w:p>
        </w:tc>
      </w:tr>
      <w:tr>
        <w:trPr>
          <w:trHeight w:val="235"/>
        </w:trPr>
        <w:tc>
          <w:tcPr>
            <w:tcW w:w="8720" w:type="dxa"/>
            <w:vAlign w:val="bottom"/>
          </w:tcPr>
          <w:p>
            <w:pPr>
              <w:ind w:left="20"/>
              <w:spacing w:after="0"/>
              <w:rPr>
                <w:sz w:val="20"/>
                <w:szCs w:val="20"/>
                <w:color w:val="auto"/>
              </w:rPr>
            </w:pPr>
            <w:r>
              <w:rPr>
                <w:rFonts w:ascii="Arial" w:cs="Arial" w:eastAsia="Arial" w:hAnsi="Arial"/>
                <w:sz w:val="16"/>
                <w:szCs w:val="16"/>
                <w:color w:val="auto"/>
              </w:rPr>
              <w:t>Restricted cash and cash equivalents</w:t>
            </w:r>
          </w:p>
        </w:tc>
        <w:tc>
          <w:tcPr>
            <w:tcW w:w="10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5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10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r>
      <w:tr>
        <w:trPr>
          <w:trHeight w:val="235"/>
        </w:trPr>
        <w:tc>
          <w:tcPr>
            <w:tcW w:w="8720" w:type="dxa"/>
            <w:vAlign w:val="bottom"/>
          </w:tcPr>
          <w:p>
            <w:pPr>
              <w:ind w:left="20"/>
              <w:spacing w:after="0"/>
              <w:rPr>
                <w:sz w:val="20"/>
                <w:szCs w:val="20"/>
                <w:color w:val="auto"/>
              </w:rPr>
            </w:pPr>
            <w:r>
              <w:rPr>
                <w:rFonts w:ascii="Arial" w:cs="Arial" w:eastAsia="Arial" w:hAnsi="Arial"/>
                <w:sz w:val="16"/>
                <w:szCs w:val="16"/>
                <w:color w:val="auto"/>
              </w:rPr>
              <w:t>Derivative assets</w:t>
            </w:r>
          </w:p>
        </w:tc>
        <w:tc>
          <w:tcPr>
            <w:tcW w:w="10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2,140</w:t>
            </w:r>
          </w:p>
        </w:tc>
      </w:tr>
      <w:tr>
        <w:trPr>
          <w:trHeight w:val="25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0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43"/>
        </w:trPr>
        <w:tc>
          <w:tcPr>
            <w:tcW w:w="8720" w:type="dxa"/>
            <w:vAlign w:val="bottom"/>
          </w:tcPr>
          <w:p>
            <w:pPr>
              <w:ind w:left="20"/>
              <w:spacing w:after="0"/>
              <w:rPr>
                <w:sz w:val="20"/>
                <w:szCs w:val="20"/>
                <w:color w:val="auto"/>
              </w:rPr>
            </w:pPr>
            <w:r>
              <w:rPr>
                <w:rFonts w:ascii="Arial" w:cs="Arial" w:eastAsia="Arial" w:hAnsi="Arial"/>
                <w:sz w:val="16"/>
                <w:szCs w:val="16"/>
                <w:color w:val="auto"/>
              </w:rPr>
              <w:t>Assets held for sale</w:t>
            </w:r>
            <w:r>
              <w:rPr>
                <w:rFonts w:ascii="Arial" w:cs="Arial" w:eastAsia="Arial" w:hAnsi="Arial"/>
                <w:sz w:val="21"/>
                <w:szCs w:val="21"/>
                <w:color w:val="auto"/>
                <w:vertAlign w:val="superscript"/>
              </w:rPr>
              <w:t>(a)</w:t>
            </w:r>
          </w:p>
        </w:tc>
        <w:tc>
          <w:tcPr>
            <w:tcW w:w="10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5,603</w:t>
            </w:r>
          </w:p>
        </w:tc>
      </w:t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0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18,481</w:t>
            </w:r>
          </w:p>
        </w:tc>
      </w:tr>
      <w:tr>
        <w:trPr>
          <w:trHeight w:val="235"/>
        </w:trPr>
        <w:tc>
          <w:tcPr>
            <w:tcW w:w="8720" w:type="dxa"/>
            <w:vAlign w:val="bottom"/>
          </w:tcPr>
          <w:p>
            <w:pPr>
              <w:ind w:left="20"/>
              <w:spacing w:after="0"/>
              <w:rPr>
                <w:sz w:val="20"/>
                <w:szCs w:val="20"/>
                <w:color w:val="auto"/>
              </w:rPr>
            </w:pPr>
            <w:r>
              <w:rPr>
                <w:rFonts w:ascii="Arial" w:cs="Arial" w:eastAsia="Arial" w:hAnsi="Arial"/>
                <w:sz w:val="16"/>
                <w:szCs w:val="16"/>
                <w:color w:val="auto"/>
              </w:rPr>
              <w:t>Renewable energy credits</w:t>
            </w:r>
          </w:p>
        </w:tc>
        <w:tc>
          <w:tcPr>
            <w:tcW w:w="10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5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energy contracts</w:t>
            </w:r>
            <w:r>
              <w:rPr>
                <w:rFonts w:ascii="Arial" w:cs="Arial" w:eastAsia="Arial" w:hAnsi="Arial"/>
                <w:sz w:val="21"/>
                <w:szCs w:val="21"/>
                <w:color w:val="auto"/>
                <w:vertAlign w:val="superscript"/>
              </w:rPr>
              <w:t>(b)</w:t>
            </w:r>
          </w:p>
        </w:tc>
        <w:tc>
          <w:tcPr>
            <w:tcW w:w="10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r>
      <w:tr>
        <w:trPr>
          <w:trHeight w:val="237"/>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0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r>
      <w:tr>
        <w:trPr>
          <w:trHeight w:val="23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acquired</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32,788</w:t>
            </w:r>
          </w:p>
        </w:tc>
      </w:tr>
      <w:tr>
        <w:trPr>
          <w:trHeight w:val="203"/>
        </w:trPr>
        <w:tc>
          <w:tcPr>
            <w:tcW w:w="8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assumed:</w:t>
            </w:r>
          </w:p>
        </w:tc>
        <w:tc>
          <w:tcPr>
            <w:tcW w:w="10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5"/>
        </w:trPr>
        <w:tc>
          <w:tcPr>
            <w:tcW w:w="872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1,601</w:t>
            </w:r>
          </w:p>
        </w:tc>
      </w:tr>
      <w:tr>
        <w:trPr>
          <w:trHeight w:val="25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(including amounts due within one year)</w:t>
            </w:r>
            <w:r>
              <w:rPr>
                <w:rFonts w:ascii="Arial" w:cs="Arial" w:eastAsia="Arial" w:hAnsi="Arial"/>
                <w:sz w:val="21"/>
                <w:szCs w:val="21"/>
                <w:color w:val="auto"/>
                <w:vertAlign w:val="superscript"/>
              </w:rPr>
              <w:t>(c)</w:t>
            </w:r>
          </w:p>
        </w:tc>
        <w:tc>
          <w:tcPr>
            <w:tcW w:w="10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12,551</w:t>
            </w:r>
          </w:p>
        </w:tc>
      </w:tr>
      <w:tr>
        <w:trPr>
          <w:trHeight w:val="235"/>
        </w:trPr>
        <w:tc>
          <w:tcPr>
            <w:tcW w:w="872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10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644</w:t>
            </w:r>
          </w:p>
        </w:tc>
      </w:tr>
      <w:tr>
        <w:trPr>
          <w:trHeight w:val="25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Renewable energy credit obligation</w:t>
            </w:r>
          </w:p>
        </w:tc>
        <w:tc>
          <w:tcPr>
            <w:tcW w:w="10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35"/>
        </w:trPr>
        <w:tc>
          <w:tcPr>
            <w:tcW w:w="8720" w:type="dxa"/>
            <w:vAlign w:val="bottom"/>
          </w:tcPr>
          <w:p>
            <w:pPr>
              <w:ind w:left="20"/>
              <w:spacing w:after="0"/>
              <w:rPr>
                <w:sz w:val="20"/>
                <w:szCs w:val="20"/>
                <w:color w:val="auto"/>
              </w:rPr>
            </w:pPr>
            <w:r>
              <w:rPr>
                <w:rFonts w:ascii="Arial" w:cs="Arial" w:eastAsia="Arial" w:hAnsi="Arial"/>
                <w:sz w:val="16"/>
                <w:szCs w:val="16"/>
                <w:color w:val="auto"/>
              </w:rPr>
              <w:t>Deferred income taxes and unamortized ITCs</w:t>
            </w:r>
          </w:p>
        </w:tc>
        <w:tc>
          <w:tcPr>
            <w:tcW w:w="10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4,083</w:t>
            </w:r>
          </w:p>
        </w:tc>
      </w:tr>
      <w:tr>
        <w:trPr>
          <w:trHeight w:val="25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obligations</w:t>
            </w:r>
          </w:p>
        </w:tc>
        <w:tc>
          <w:tcPr>
            <w:tcW w:w="10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43"/>
        </w:trPr>
        <w:tc>
          <w:tcPr>
            <w:tcW w:w="8720" w:type="dxa"/>
            <w:vAlign w:val="bottom"/>
          </w:tcPr>
          <w:p>
            <w:pPr>
              <w:ind w:left="20"/>
              <w:spacing w:after="0"/>
              <w:rPr>
                <w:sz w:val="20"/>
                <w:szCs w:val="20"/>
                <w:color w:val="auto"/>
              </w:rPr>
            </w:pPr>
            <w:r>
              <w:rPr>
                <w:rFonts w:ascii="Arial" w:cs="Arial" w:eastAsia="Arial" w:hAnsi="Arial"/>
                <w:sz w:val="16"/>
                <w:szCs w:val="16"/>
                <w:color w:val="auto"/>
              </w:rPr>
              <w:t>Unamortized energy contracts</w:t>
            </w:r>
            <w:r>
              <w:rPr>
                <w:rFonts w:ascii="Arial" w:cs="Arial" w:eastAsia="Arial" w:hAnsi="Arial"/>
                <w:sz w:val="21"/>
                <w:szCs w:val="21"/>
                <w:color w:val="auto"/>
                <w:vertAlign w:val="superscript"/>
              </w:rPr>
              <w:t>(b)</w:t>
            </w:r>
          </w:p>
        </w:tc>
        <w:tc>
          <w:tcPr>
            <w:tcW w:w="10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1,815</w:t>
            </w:r>
          </w:p>
        </w:tc>
      </w:tr>
      <w:tr>
        <w:trPr>
          <w:trHeight w:val="237"/>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0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r>
      <w:tr>
        <w:trPr>
          <w:trHeight w:val="236"/>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 assumed</w:t>
            </w:r>
          </w:p>
        </w:tc>
        <w:tc>
          <w:tcPr>
            <w:tcW w:w="10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22,060</w:t>
            </w:r>
          </w:p>
        </w:tc>
      </w:t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identifiable assets acquired</w:t>
            </w:r>
          </w:p>
        </w:tc>
        <w:tc>
          <w:tcPr>
            <w:tcW w:w="10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10,728</w:t>
            </w:r>
          </w:p>
        </w:tc>
      </w:tr>
      <w:tr>
        <w:trPr>
          <w:trHeight w:val="237"/>
        </w:trPr>
        <w:tc>
          <w:tcPr>
            <w:tcW w:w="8720" w:type="dxa"/>
            <w:vAlign w:val="bottom"/>
            <w:tcBorders>
              <w:bottom w:val="single" w:sz="8" w:color="CCEEFF"/>
            </w:tcBorders>
          </w:tcPr>
          <w:p>
            <w:pPr>
              <w:ind w:left="20"/>
              <w:spacing w:after="0" w:line="237" w:lineRule="exact"/>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(d)</w:t>
            </w:r>
          </w:p>
        </w:tc>
        <w:tc>
          <w:tcPr>
            <w:tcW w:w="10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11,107</w:t>
            </w:r>
          </w:p>
        </w:tc>
      </w:tr>
      <w:tr>
        <w:trPr>
          <w:trHeight w:val="262"/>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consideration transferred</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21,835</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8"/>
        <w:spacing w:after="0" w:line="275" w:lineRule="auto"/>
        <w:tabs>
          <w:tab w:leader="none" w:pos="246"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Assets Held for Sale. </w:t>
      </w:r>
      <w:r>
        <w:rPr>
          <w:rFonts w:ascii="Arial" w:cs="Arial" w:eastAsia="Arial" w:hAnsi="Arial"/>
          <w:sz w:val="16"/>
          <w:szCs w:val="16"/>
          <w:color w:val="auto"/>
        </w:rPr>
        <w:t>Reflects the Acquisition Date fair value, less costs to sell, for the six generating assets required to be divested. Depreciation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these assets ceased upon classification as held for sale. No impairment has been recognized subsequent to initial classification. The following table presents the carrying amounts of the major classes of assets and liabilities classified as held for sale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 held for sale: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5,454</w:t>
            </w:r>
          </w:p>
        </w:tc>
      </w:tr>
      <w:tr>
        <w:trPr>
          <w:trHeight w:val="25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0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37"/>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0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held for sale</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5,603</w:t>
            </w:r>
          </w:p>
        </w:tc>
      </w:tr>
      <w:tr>
        <w:trPr>
          <w:trHeight w:val="203"/>
        </w:trPr>
        <w:tc>
          <w:tcPr>
            <w:tcW w:w="8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associated with assets held for sale:</w:t>
            </w:r>
          </w:p>
        </w:tc>
        <w:tc>
          <w:tcPr>
            <w:tcW w:w="10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5"/>
        </w:trPr>
        <w:tc>
          <w:tcPr>
            <w:tcW w:w="8720" w:type="dxa"/>
            <w:vAlign w:val="bottom"/>
          </w:tcPr>
          <w:p>
            <w:pPr>
              <w:ind w:left="20"/>
              <w:spacing w:after="0"/>
              <w:rPr>
                <w:sz w:val="20"/>
                <w:szCs w:val="20"/>
                <w:color w:val="auto"/>
              </w:rPr>
            </w:pPr>
            <w:r>
              <w:rPr>
                <w:rFonts w:ascii="Arial" w:cs="Arial" w:eastAsia="Arial" w:hAnsi="Arial"/>
                <w:sz w:val="16"/>
                <w:szCs w:val="16"/>
                <w:color w:val="auto"/>
              </w:rPr>
              <w:t>Asset retirement obligations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0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43"/>
        </w:trPr>
        <w:tc>
          <w:tcPr>
            <w:tcW w:w="8720" w:type="dxa"/>
            <w:vAlign w:val="bottom"/>
          </w:tcPr>
          <w:p>
            <w:pPr>
              <w:ind w:left="20"/>
              <w:spacing w:after="0"/>
              <w:rPr>
                <w:sz w:val="20"/>
                <w:szCs w:val="20"/>
                <w:color w:val="auto"/>
              </w:rPr>
            </w:pPr>
            <w:r>
              <w:rPr>
                <w:rFonts w:ascii="Arial" w:cs="Arial" w:eastAsia="Arial" w:hAnsi="Arial"/>
                <w:sz w:val="16"/>
                <w:szCs w:val="16"/>
                <w:color w:val="auto"/>
              </w:rPr>
              <w:t>Total liabilities associated with assets held for sale</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0"/>
        </w:trPr>
        <w:tc>
          <w:tcPr>
            <w:tcW w:w="8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2 — Mergers,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8"/>
        <w:spacing w:after="0" w:line="286" w:lineRule="auto"/>
        <w:tabs>
          <w:tab w:leader="none" w:pos="256"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Unamortized Energy Contracts. </w:t>
      </w:r>
      <w:r>
        <w:rPr>
          <w:rFonts w:ascii="Arial" w:cs="Arial" w:eastAsia="Arial" w:hAnsi="Arial"/>
          <w:sz w:val="16"/>
          <w:szCs w:val="16"/>
          <w:color w:val="auto"/>
        </w:rPr>
        <w:t>The following table summarizes the classification and amounts of UECs in the Consolidated Balance Sheets as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94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Other deferred debits and other assets</w:t>
            </w:r>
          </w:p>
        </w:tc>
        <w:tc>
          <w:tcPr>
            <w:tcW w:w="39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1,616</w:t>
            </w:r>
          </w:p>
        </w:tc>
      </w:tr>
      <w:tr>
        <w:trPr>
          <w:trHeight w:val="251"/>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9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27"/>
        </w:trPr>
        <w:tc>
          <w:tcPr>
            <w:tcW w:w="5860" w:type="dxa"/>
            <w:vAlign w:val="bottom"/>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39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1,448</w:t>
            </w:r>
          </w:p>
        </w:tc>
      </w:tr>
    </w:tbl>
    <w:p>
      <w:pPr>
        <w:spacing w:after="0" w:line="244" w:lineRule="exact"/>
        <w:rPr>
          <w:sz w:val="20"/>
          <w:szCs w:val="20"/>
          <w:color w:val="auto"/>
        </w:rPr>
      </w:pPr>
    </w:p>
    <w:p>
      <w:pPr>
        <w:jc w:val="both"/>
        <w:ind w:firstLine="8"/>
        <w:spacing w:after="0" w:line="275" w:lineRule="auto"/>
        <w:tabs>
          <w:tab w:leader="none" w:pos="243"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Long-term Debt (including amounts due within one year). </w:t>
      </w:r>
      <w:r>
        <w:rPr>
          <w:rFonts w:ascii="Arial" w:cs="Arial" w:eastAsia="Arial" w:hAnsi="Arial"/>
          <w:sz w:val="16"/>
          <w:szCs w:val="16"/>
          <w:color w:val="auto"/>
        </w:rPr>
        <w:t>We assumed total debt of $12,551 million at estimated fair value as of the Acquisition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comprising $279 million classified as Long-term debt due within one year and $12,272 million classified as Long-term debt, in the Consolidated Balance Sheets. See Note 13 — Debt and Credit Agreements for additional information.</w:t>
      </w:r>
    </w:p>
    <w:p>
      <w:pPr>
        <w:spacing w:after="0" w:line="123" w:lineRule="exact"/>
        <w:rPr>
          <w:rFonts w:ascii="Arial" w:cs="Arial" w:eastAsia="Arial" w:hAnsi="Arial"/>
          <w:sz w:val="16"/>
          <w:szCs w:val="16"/>
          <w:b w:val="1"/>
          <w:bCs w:val="1"/>
          <w:i w:val="1"/>
          <w:iCs w:val="1"/>
          <w:color w:val="auto"/>
        </w:rPr>
      </w:pPr>
    </w:p>
    <w:p>
      <w:pPr>
        <w:jc w:val="both"/>
        <w:ind w:firstLine="8"/>
        <w:spacing w:after="0" w:line="261" w:lineRule="auto"/>
        <w:tabs>
          <w:tab w:leader="none" w:pos="252"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Goodwill. </w:t>
      </w:r>
      <w:r>
        <w:rPr>
          <w:rFonts w:ascii="Arial" w:cs="Arial" w:eastAsia="Arial" w:hAnsi="Arial"/>
          <w:sz w:val="16"/>
          <w:szCs w:val="16"/>
          <w:color w:val="auto"/>
        </w:rPr>
        <w:t>Represents the excess of the purchase price over the estimated fair value of the net assets acquired. Goodwill recognized primarily reflects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expected benefits from increased scale and meaningful market diversification, complementary generation and retail capabilities, and an enhanced ability to meet growing demand with a broader array of energy and sustainability products, to the extent such benefits are not separately recognizable as identifiable intangible assets. Goodwill will be assigned to the reporting units expected to benefit from the acquisition. The assignment of goodwill to the reporting units has not been completed as of the date of these financial statements due to the preliminary nature of the purchase price allocation. The goodwill recognized in connection with the acquisition is not expected to be deductible for income tax purposes.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Significant Assets and Liabilities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preliminary fair values assigned to the assets acquired and liabilities assumed were determined based on significant estimates and assumptions that are judgmental in nature, including projected future cash flows; discount rates reflecting the risks inherent in the future cash flows; and future market prices, among others. These estimates and assumptions were applied to the valuation of significant acquired assets and assumed liabilities, including property, plant and equipment, assets held for sale, and unamortized energy contracts, and required assessments of current and projected market conditions and operating strategies. Forecasting future cash flows requires assumptions regarding, among other things, forecasted commodity prices for the sale of power and purchases of fuel and the expected operations of the assets, and judgments are also made to determine the expected useful lives assigned to each class of assets acquired and the duration of liabilities assumed.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Key Accounting Impacts &amp; Judgments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Identifiable intangible assets acquired and liabilities assumed in connection with the acquisition include customer relationships, trade names, and energy contracts, recorded at estimated fair value. The weighted average amortization periods reflect weighted average useful lives of 15 years for customer relationships, five years for trade names, and six years for energy contracts.</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also recognized the fair value of acquired commodity and interest rate derivatives and related hedging relationships as of the Acquisition Date; related gains or losses subsequent to acquisition will be recognized in earnings consistent with our accounting policies. For additional information on derivative instruments, see Note 12 — Derivative Financial Instruments.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amounts recognized for property, plant and equipment, identifiable intangible assets and liabilities (including customer relationships, trade names, and unamortized energy contracts) and their useful lives, lease assets and liabilities, asset retirement and environmental obligations, contingencies, and income taxes (including deferred taxes) are provisional and subject to revision during the measurement period.</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Acquisition-related costs (e.g., advisory, legal, valuation, and other professional fees) are expensed as incurred and reflected within Operating and maintenance expenses in the Consolidated Statements of Operations and Comprehensive Income. These costs, which are not included in the consideration transferred, were not material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2 — Mergers,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Pro Forma Results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following unaudited pro forma financial information for the three months ended March 31, 2026 and 2025 assumes that the acquisition occurred on January 1, 2025. The unaudited pro forma financial information is provided for informational purposes only and is not necessarily indicative of the results of operations that would have occurred had the acquisition been completed on January 1, 2025. The unaudited pro forma financial information is not indicative of the future results of operations, which may differ materially from the pro forma financial information presented here.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Three Months Ended March 31,</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Unaudited pro forma financial information</w:t>
            </w:r>
          </w:p>
        </w:tc>
        <w:tc>
          <w:tcPr>
            <w:tcW w:w="6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1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880" w:type="dxa"/>
            <w:vAlign w:val="bottom"/>
          </w:tcPr>
          <w:p>
            <w:pPr>
              <w:jc w:val="right"/>
              <w:ind w:right="1028"/>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jc w:val="right"/>
              <w:ind w:right="1025"/>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2"/>
        </w:trPr>
        <w:tc>
          <w:tcPr>
            <w:tcW w:w="6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11,352</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9,321</w:t>
            </w:r>
          </w:p>
        </w:tc>
        <w:tc>
          <w:tcPr>
            <w:tcW w:w="0" w:type="dxa"/>
            <w:vAlign w:val="bottom"/>
          </w:tcPr>
          <w:p>
            <w:pPr>
              <w:spacing w:after="0"/>
              <w:rPr>
                <w:sz w:val="1"/>
                <w:szCs w:val="1"/>
                <w:color w:val="auto"/>
              </w:rPr>
            </w:pPr>
          </w:p>
        </w:tc>
      </w:tr>
      <w:tr>
        <w:trPr>
          <w:trHeight w:val="298"/>
        </w:trPr>
        <w:tc>
          <w:tcPr>
            <w:tcW w:w="6120" w:type="dxa"/>
            <w:vAlign w:val="bottom"/>
          </w:tcPr>
          <w:p>
            <w:pPr>
              <w:ind w:left="20"/>
              <w:spacing w:after="0"/>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(a)</w:t>
            </w:r>
          </w:p>
        </w:tc>
        <w:tc>
          <w:tcPr>
            <w:tcW w:w="620" w:type="dxa"/>
            <w:vAlign w:val="bottom"/>
          </w:tcPr>
          <w:p>
            <w:pPr>
              <w:spacing w:after="0"/>
              <w:rPr>
                <w:sz w:val="24"/>
                <w:szCs w:val="24"/>
                <w:color w:val="auto"/>
              </w:rPr>
            </w:pPr>
          </w:p>
        </w:tc>
        <w:tc>
          <w:tcPr>
            <w:tcW w:w="1880" w:type="dxa"/>
            <w:vAlign w:val="bottom"/>
          </w:tcPr>
          <w:p>
            <w:pPr>
              <w:jc w:val="right"/>
              <w:ind w:right="8"/>
              <w:spacing w:after="0"/>
              <w:rPr>
                <w:sz w:val="20"/>
                <w:szCs w:val="20"/>
                <w:color w:val="auto"/>
              </w:rPr>
            </w:pPr>
            <w:r>
              <w:rPr>
                <w:rFonts w:ascii="Arial" w:cs="Arial" w:eastAsia="Arial" w:hAnsi="Arial"/>
                <w:sz w:val="16"/>
                <w:szCs w:val="16"/>
                <w:color w:val="auto"/>
              </w:rPr>
              <w:t>1,590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jc w:val="right"/>
              <w:ind w:right="5"/>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Reflects Net income attributable to common shareholders for CEG Parent and Net income attributable to membership interest for Constellation.</w:t>
      </w:r>
    </w:p>
    <w:p>
      <w:pPr>
        <w:spacing w:after="0" w:line="14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unaudited pro forma financial information presented above includes adjustments for incremental depreciation and amortization as a result of the fair value determination of the net assets acquired, the effects of the acquisition on tax expense (benefit), and other acquisition accounting adjustments.</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discussed in Note 5 — Segment Information, Calpine is now presented as a reportable segment, and RNF is the segment performance metric, a component of which includes revenue. From the Acquisition Date through March 31, 2026, Operating revenues attributable to Calpine were $3,136 million. However, as a result of the commencement of integration activities for certain functions and the consolidation of financing activities (see Note 13 — Debt and Credit Agreements), it is impracticable to determine Calpine’s earnings since the Acquisition Date.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Regulatory Matters</w:t>
      </w:r>
    </w:p>
    <w:p>
      <w:pPr>
        <w:spacing w:after="0" w:line="16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As discussed in Note 3 — Regulatory Matters of our 2025 Form 10-K, we are involved in various regulatory and legislative proceedings. The following discusses developments in 2026 and updates to the 2025 Form 10-K.</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Capacity Interconnection Rights for Crane Clean Energy Center</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2024, we announced the restart of Three Mile Island Unit 1, renamed as the Crane Clean Energy Center. The restart is supported by a 20-year PPA with Microsoft to purchase the output generated from the renewed plant. The restart of the plant and delivery of electricity under the PPA is subject to certain regulatory approvals, including the NRC comprehensive safety and environmental review, as well as permits from relevant state and local agencies.</w:t>
      </w:r>
    </w:p>
    <w:p>
      <w:pPr>
        <w:spacing w:after="0" w:line="11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PJM's Phase I System Impact Study for Crane identified contingent transmission upgrades that would need to be completed for Crane to be fully deliverable to the grid, some of which suggested projected in-service dates extending as late as December 2030.</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March 2026, we filed a waiver request with FERC to allow the transfer of capacity interconnection rights (CIRs) from Eddystone to Crane with the aim of reducing the number of contingent upgrades that would need to be completed prior to Crane being fully deliverable to the grid. Eddystone Units 3 and 4 were previously announced as having a planned retirement date of May 31, 2025, but have been required to continue operating as energy-only resources under DOE emergency orders issued in 2025 and 2026 for grid reliability. Transferring the Eddystone CIRs to Crane will not affect PJM's ability to operate and dispatch Eddystone for reliability in compliance with the DOE's orders. We have requested that FERC grant the requested waiver no later than June 1, 2026.</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Note 4 —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from Contracts with Customers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recognize revenue from contracts with customers to depict the transfer of goods or services to customers at an amount that we expect to be entitled to in exchange for those goods or services. Our primary sources of revenue include competitive sales of power, natural gas, and other energy-related products and sustainable solutions.</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See Note 4 — Revenue from Contracts with Customers of our 2025 Form 10-K for additional information regarding the performance obligations, revenue recognition, and payment terms associated with these sources of revenue.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Price Allocated to Remaining Performance Obligations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table shows the amounts of future revenues expected to be recorded in each year for performance obligations that are unsatisfied or partially unsatisfied as of March 31, 2026. This disclosure only includes components of contracts for which consideration is fixed and determinable. The average contract term varies by customer type and commodity but ranges from one month to several years. This disclosure excludes derivatives and certain power and gas sales contracts which contain variable volumes and/or variable pricing.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2031 and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2"/>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48"/>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Arial" w:cs="Arial" w:eastAsia="Arial" w:hAnsi="Arial"/>
                <w:sz w:val="13"/>
                <w:szCs w:val="13"/>
                <w:b w:val="1"/>
                <w:bCs w:val="1"/>
                <w:color w:val="auto"/>
              </w:rPr>
              <w:t>2027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Arial" w:cs="Arial" w:eastAsia="Arial" w:hAnsi="Arial"/>
                <w:sz w:val="13"/>
                <w:szCs w:val="13"/>
                <w:b w:val="1"/>
                <w:bCs w:val="1"/>
                <w:color w:val="auto"/>
              </w:rPr>
              <w:t>2028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348"/>
              <w:spacing w:after="0"/>
              <w:rPr>
                <w:sz w:val="20"/>
                <w:szCs w:val="20"/>
                <w:color w:val="auto"/>
              </w:rPr>
            </w:pPr>
            <w:r>
              <w:rPr>
                <w:rFonts w:ascii="Arial" w:cs="Arial" w:eastAsia="Arial" w:hAnsi="Arial"/>
                <w:sz w:val="13"/>
                <w:szCs w:val="13"/>
                <w:b w:val="1"/>
                <w:bCs w:val="1"/>
                <w:color w:val="auto"/>
              </w:rPr>
              <w:t>2029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Arial" w:cs="Arial" w:eastAsia="Arial" w:hAnsi="Arial"/>
                <w:sz w:val="13"/>
                <w:szCs w:val="13"/>
                <w:b w:val="1"/>
                <w:bCs w:val="1"/>
                <w:color w:val="auto"/>
              </w:rPr>
              <w:t>2030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thereafter</w:t>
            </w:r>
          </w:p>
        </w:tc>
        <w:tc>
          <w:tcPr>
            <w:tcW w:w="2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Arial" w:cs="Arial" w:eastAsia="Arial" w:hAnsi="Arial"/>
                <w:sz w:val="13"/>
                <w:szCs w:val="13"/>
                <w:b w:val="1"/>
                <w:bCs w:val="1"/>
                <w:color w:val="auto"/>
              </w:rPr>
              <w:t>Total</w:t>
            </w:r>
          </w:p>
        </w:tc>
      </w:tr>
      <w:tr>
        <w:trPr>
          <w:trHeight w:val="22"/>
        </w:trPr>
        <w:tc>
          <w:tcPr>
            <w:tcW w:w="2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Remaining performance obligations  $</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1,342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5,137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12,034</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Disaggregation</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disaggregate the revenue recognized from contracts with customers into categories that depict how the nature, amount, timing, and uncertainty of revenue and cash flows are affected by economic factors. The following tables disaggregate the revenue recognized from contracts with customers between power revenues, capacity revenues, natural gas revenues, and other revenues. Power revenues and capacity revenues are further disaggregated by ISO/RTO and/or geographic location, which include PJM, MISO, ERCOT, NYISO, ISO-NE, West (which includes operations in CAISO, Arizona and Oregon), SERC/SPP, and International Power (which includes operations in the United Kingdom and Canada).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ind w:left="60"/>
              <w:spacing w:after="0"/>
              <w:rPr>
                <w:sz w:val="20"/>
                <w:szCs w:val="20"/>
                <w:color w:val="auto"/>
              </w:rPr>
            </w:pPr>
            <w:r>
              <w:rPr>
                <w:rFonts w:ascii="Arial" w:cs="Arial" w:eastAsia="Arial" w:hAnsi="Arial"/>
                <w:sz w:val="13"/>
                <w:szCs w:val="13"/>
                <w:b w:val="1"/>
                <w:bCs w:val="1"/>
                <w:color w:val="auto"/>
              </w:rPr>
              <w:t>Power and Power-</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Three Months Ended March 31, 2026</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6"/>
              </w:rPr>
              <w:t>related Revenues</w:t>
            </w:r>
            <w:r>
              <w:rPr>
                <w:rFonts w:ascii="Arial" w:cs="Arial" w:eastAsia="Arial" w:hAnsi="Arial"/>
                <w:sz w:val="16"/>
                <w:szCs w:val="16"/>
                <w:b w:val="1"/>
                <w:bCs w:val="1"/>
                <w:color w:val="auto"/>
                <w:w w:val="96"/>
                <w:vertAlign w:val="superscript"/>
              </w:rPr>
              <w:t>(a)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93"/>
              </w:rPr>
              <w:t>Capacity Revenues</w:t>
            </w:r>
            <w:r>
              <w:rPr>
                <w:rFonts w:ascii="Arial" w:cs="Arial" w:eastAsia="Arial" w:hAnsi="Arial"/>
                <w:sz w:val="16"/>
                <w:szCs w:val="16"/>
                <w:b w:val="1"/>
                <w:bCs w:val="1"/>
                <w:color w:val="auto"/>
                <w:w w:val="93"/>
                <w:vertAlign w:val="superscript"/>
              </w:rPr>
              <w:t>(b)</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Other Revenues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Total</w:t>
            </w:r>
          </w:p>
        </w:tc>
      </w:tr>
      <w:tr>
        <w:trPr>
          <w:trHeight w:val="236"/>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PJM</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r>
      <w:tr>
        <w:trPr>
          <w:trHeight w:val="235"/>
        </w:trPr>
        <w:tc>
          <w:tcPr>
            <w:tcW w:w="4880" w:type="dxa"/>
            <w:vAlign w:val="bottom"/>
          </w:tcPr>
          <w:p>
            <w:pPr>
              <w:ind w:left="240"/>
              <w:spacing w:after="0"/>
              <w:rPr>
                <w:sz w:val="20"/>
                <w:szCs w:val="20"/>
                <w:color w:val="auto"/>
              </w:rPr>
            </w:pPr>
            <w:r>
              <w:rPr>
                <w:rFonts w:ascii="Arial" w:cs="Arial" w:eastAsia="Arial" w:hAnsi="Arial"/>
                <w:sz w:val="16"/>
                <w:szCs w:val="16"/>
                <w:color w:val="auto"/>
              </w:rPr>
              <w:t>MISO</w:t>
            </w:r>
          </w:p>
        </w:tc>
        <w:tc>
          <w:tcPr>
            <w:tcW w:w="14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51"/>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ERCOT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35"/>
        </w:trPr>
        <w:tc>
          <w:tcPr>
            <w:tcW w:w="4880" w:type="dxa"/>
            <w:vAlign w:val="bottom"/>
          </w:tcPr>
          <w:p>
            <w:pPr>
              <w:ind w:left="240"/>
              <w:spacing w:after="0"/>
              <w:rPr>
                <w:sz w:val="20"/>
                <w:szCs w:val="20"/>
                <w:color w:val="auto"/>
              </w:rPr>
            </w:pPr>
            <w:r>
              <w:rPr>
                <w:rFonts w:ascii="Arial" w:cs="Arial" w:eastAsia="Arial" w:hAnsi="Arial"/>
                <w:sz w:val="16"/>
                <w:szCs w:val="16"/>
                <w:color w:val="auto"/>
              </w:rPr>
              <w:t>NYISO</w:t>
            </w:r>
          </w:p>
        </w:tc>
        <w:tc>
          <w:tcPr>
            <w:tcW w:w="14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251"/>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ISO-NE</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r>
      <w:tr>
        <w:trPr>
          <w:trHeight w:val="235"/>
        </w:trPr>
        <w:tc>
          <w:tcPr>
            <w:tcW w:w="4880" w:type="dxa"/>
            <w:vAlign w:val="bottom"/>
          </w:tcPr>
          <w:p>
            <w:pPr>
              <w:ind w:left="240"/>
              <w:spacing w:after="0"/>
              <w:rPr>
                <w:sz w:val="20"/>
                <w:szCs w:val="20"/>
                <w:color w:val="auto"/>
              </w:rPr>
            </w:pPr>
            <w:r>
              <w:rPr>
                <w:rFonts w:ascii="Arial" w:cs="Arial" w:eastAsia="Arial" w:hAnsi="Arial"/>
                <w:sz w:val="16"/>
                <w:szCs w:val="16"/>
                <w:color w:val="auto"/>
              </w:rPr>
              <w:t>West</w:t>
            </w:r>
          </w:p>
        </w:tc>
        <w:tc>
          <w:tcPr>
            <w:tcW w:w="14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51"/>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SERC/SPP</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37"/>
        </w:trPr>
        <w:tc>
          <w:tcPr>
            <w:tcW w:w="48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International Power</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Power revenues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6,453</w:t>
            </w:r>
          </w:p>
        </w:tc>
      </w:tr>
      <w:tr>
        <w:trPr>
          <w:trHeight w:val="243"/>
        </w:trPr>
        <w:tc>
          <w:tcPr>
            <w:tcW w:w="4880" w:type="dxa"/>
            <w:vAlign w:val="bottom"/>
          </w:tcPr>
          <w:p>
            <w:pPr>
              <w:ind w:left="240"/>
              <w:spacing w:after="0"/>
              <w:rPr>
                <w:sz w:val="20"/>
                <w:szCs w:val="20"/>
                <w:color w:val="auto"/>
              </w:rPr>
            </w:pPr>
            <w:r>
              <w:rPr>
                <w:rFonts w:ascii="Arial" w:cs="Arial" w:eastAsia="Arial" w:hAnsi="Arial"/>
                <w:sz w:val="16"/>
                <w:szCs w:val="16"/>
                <w:color w:val="auto"/>
              </w:rPr>
              <w:t>Gas revenues</w:t>
            </w:r>
            <w:r>
              <w:rPr>
                <w:rFonts w:ascii="Arial" w:cs="Arial" w:eastAsia="Arial" w:hAnsi="Arial"/>
                <w:sz w:val="21"/>
                <w:szCs w:val="21"/>
                <w:color w:val="auto"/>
                <w:vertAlign w:val="superscript"/>
              </w:rPr>
              <w:t>(c)</w:t>
            </w:r>
          </w:p>
        </w:tc>
        <w:tc>
          <w:tcPr>
            <w:tcW w:w="14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943</w:t>
            </w:r>
          </w:p>
        </w:tc>
      </w:tr>
      <w:tr>
        <w:trPr>
          <w:trHeight w:val="243"/>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revenues</w:t>
            </w:r>
            <w:r>
              <w:rPr>
                <w:rFonts w:ascii="Arial" w:cs="Arial" w:eastAsia="Arial" w:hAnsi="Arial"/>
                <w:sz w:val="21"/>
                <w:szCs w:val="21"/>
                <w:color w:val="auto"/>
                <w:vertAlign w:val="superscript"/>
              </w:rPr>
              <w:t>(d)</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29"/>
        </w:trPr>
        <w:tc>
          <w:tcPr>
            <w:tcW w:w="4880" w:type="dxa"/>
            <w:vAlign w:val="bottom"/>
          </w:tcPr>
          <w:p>
            <w:pPr>
              <w:ind w:left="20"/>
              <w:spacing w:after="0"/>
              <w:rPr>
                <w:sz w:val="20"/>
                <w:szCs w:val="20"/>
                <w:color w:val="auto"/>
              </w:rPr>
            </w:pPr>
            <w:r>
              <w:rPr>
                <w:rFonts w:ascii="Arial" w:cs="Arial" w:eastAsia="Arial" w:hAnsi="Arial"/>
                <w:sz w:val="16"/>
                <w:szCs w:val="16"/>
                <w:color w:val="auto"/>
              </w:rPr>
              <w:t>Total revenue from contracts with customers</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6,037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7,541</w:t>
            </w:r>
          </w:p>
        </w:tc>
      </w:tr>
      <w:tr>
        <w:trPr>
          <w:trHeight w:val="251"/>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revenue sources</w:t>
            </w:r>
            <w:r>
              <w:rPr>
                <w:rFonts w:ascii="Arial" w:cs="Arial" w:eastAsia="Arial" w:hAnsi="Arial"/>
                <w:sz w:val="21"/>
                <w:szCs w:val="21"/>
                <w:color w:val="auto"/>
                <w:vertAlign w:val="superscript"/>
              </w:rPr>
              <w:t>(e)</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r>
      <w:tr>
        <w:trPr>
          <w:trHeight w:val="237"/>
        </w:trPr>
        <w:tc>
          <w:tcPr>
            <w:tcW w:w="4880" w:type="dxa"/>
            <w:vAlign w:val="bottom"/>
          </w:tcPr>
          <w:p>
            <w:pPr>
              <w:ind w:left="20"/>
              <w:spacing w:after="0"/>
              <w:rPr>
                <w:sz w:val="20"/>
                <w:szCs w:val="20"/>
                <w:color w:val="auto"/>
              </w:rPr>
            </w:pPr>
            <w:r>
              <w:rPr>
                <w:rFonts w:ascii="Arial" w:cs="Arial" w:eastAsia="Arial" w:hAnsi="Arial"/>
                <w:sz w:val="16"/>
                <w:szCs w:val="16"/>
                <w:color w:val="auto"/>
              </w:rPr>
              <w:t>Total Operating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6,037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4,669</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11,122</w:t>
            </w: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Note 4 — Revenue from Contracts with Customers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3"/>
                <w:szCs w:val="13"/>
                <w:b w:val="1"/>
                <w:bCs w:val="1"/>
                <w:color w:val="auto"/>
              </w:rPr>
              <w:t>Power and Power-</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Three Months Ended March 31, 2025</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6"/>
              </w:rPr>
              <w:t>related Revenues</w:t>
            </w:r>
            <w:r>
              <w:rPr>
                <w:rFonts w:ascii="Arial" w:cs="Arial" w:eastAsia="Arial" w:hAnsi="Arial"/>
                <w:sz w:val="16"/>
                <w:szCs w:val="16"/>
                <w:b w:val="1"/>
                <w:bCs w:val="1"/>
                <w:color w:val="auto"/>
                <w:w w:val="96"/>
                <w:vertAlign w:val="superscript"/>
              </w:rPr>
              <w:t>(a)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93"/>
              </w:rPr>
              <w:t>Capacity Revenues</w:t>
            </w:r>
            <w:r>
              <w:rPr>
                <w:rFonts w:ascii="Arial" w:cs="Arial" w:eastAsia="Arial" w:hAnsi="Arial"/>
                <w:sz w:val="16"/>
                <w:szCs w:val="16"/>
                <w:b w:val="1"/>
                <w:bCs w:val="1"/>
                <w:color w:val="auto"/>
                <w:w w:val="93"/>
                <w:vertAlign w:val="superscript"/>
              </w:rPr>
              <w:t>(b)</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Other Revenues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Total</w:t>
            </w:r>
          </w:p>
        </w:tc>
      </w:tr>
      <w:tr>
        <w:trPr>
          <w:trHeight w:val="237"/>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PJM</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2,698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w:t>
            </w:r>
          </w:p>
        </w:tc>
      </w:tr>
      <w:tr>
        <w:trPr>
          <w:trHeight w:val="235"/>
        </w:trPr>
        <w:tc>
          <w:tcPr>
            <w:tcW w:w="4880" w:type="dxa"/>
            <w:vAlign w:val="bottom"/>
          </w:tcPr>
          <w:p>
            <w:pPr>
              <w:ind w:left="240"/>
              <w:spacing w:after="0"/>
              <w:rPr>
                <w:sz w:val="20"/>
                <w:szCs w:val="20"/>
                <w:color w:val="auto"/>
              </w:rPr>
            </w:pPr>
            <w:r>
              <w:rPr>
                <w:rFonts w:ascii="Arial" w:cs="Arial" w:eastAsia="Arial" w:hAnsi="Arial"/>
                <w:sz w:val="16"/>
                <w:szCs w:val="16"/>
                <w:color w:val="auto"/>
              </w:rPr>
              <w:t>MISO</w:t>
            </w:r>
          </w:p>
        </w:tc>
        <w:tc>
          <w:tcPr>
            <w:tcW w:w="14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51"/>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ERCOT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35"/>
        </w:trPr>
        <w:tc>
          <w:tcPr>
            <w:tcW w:w="4880" w:type="dxa"/>
            <w:vAlign w:val="bottom"/>
          </w:tcPr>
          <w:p>
            <w:pPr>
              <w:ind w:left="240"/>
              <w:spacing w:after="0"/>
              <w:rPr>
                <w:sz w:val="20"/>
                <w:szCs w:val="20"/>
                <w:color w:val="auto"/>
              </w:rPr>
            </w:pPr>
            <w:r>
              <w:rPr>
                <w:rFonts w:ascii="Arial" w:cs="Arial" w:eastAsia="Arial" w:hAnsi="Arial"/>
                <w:sz w:val="16"/>
                <w:szCs w:val="16"/>
                <w:color w:val="auto"/>
              </w:rPr>
              <w:t>NYISO</w:t>
            </w:r>
          </w:p>
        </w:tc>
        <w:tc>
          <w:tcPr>
            <w:tcW w:w="14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675</w:t>
            </w:r>
          </w:p>
        </w:tc>
      </w:tr>
      <w:tr>
        <w:trPr>
          <w:trHeight w:val="251"/>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ISO-NE</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r>
      <w:tr>
        <w:trPr>
          <w:trHeight w:val="235"/>
        </w:trPr>
        <w:tc>
          <w:tcPr>
            <w:tcW w:w="4880" w:type="dxa"/>
            <w:vAlign w:val="bottom"/>
          </w:tcPr>
          <w:p>
            <w:pPr>
              <w:ind w:left="240"/>
              <w:spacing w:after="0"/>
              <w:rPr>
                <w:sz w:val="20"/>
                <w:szCs w:val="20"/>
                <w:color w:val="auto"/>
              </w:rPr>
            </w:pPr>
            <w:r>
              <w:rPr>
                <w:rFonts w:ascii="Arial" w:cs="Arial" w:eastAsia="Arial" w:hAnsi="Arial"/>
                <w:sz w:val="16"/>
                <w:szCs w:val="16"/>
                <w:color w:val="auto"/>
              </w:rPr>
              <w:t>West</w:t>
            </w:r>
          </w:p>
        </w:tc>
        <w:tc>
          <w:tcPr>
            <w:tcW w:w="14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51"/>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SERC/SPP</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48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International Power</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Power revenues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5,238</w:t>
            </w:r>
          </w:p>
        </w:tc>
      </w:tr>
      <w:tr>
        <w:trPr>
          <w:trHeight w:val="243"/>
        </w:trPr>
        <w:tc>
          <w:tcPr>
            <w:tcW w:w="4880" w:type="dxa"/>
            <w:vAlign w:val="bottom"/>
          </w:tcPr>
          <w:p>
            <w:pPr>
              <w:ind w:left="240"/>
              <w:spacing w:after="0"/>
              <w:rPr>
                <w:sz w:val="20"/>
                <w:szCs w:val="20"/>
                <w:color w:val="auto"/>
              </w:rPr>
            </w:pPr>
            <w:r>
              <w:rPr>
                <w:rFonts w:ascii="Arial" w:cs="Arial" w:eastAsia="Arial" w:hAnsi="Arial"/>
                <w:sz w:val="16"/>
                <w:szCs w:val="16"/>
                <w:color w:val="auto"/>
              </w:rPr>
              <w:t>Gas revenues</w:t>
            </w:r>
            <w:r>
              <w:rPr>
                <w:rFonts w:ascii="Arial" w:cs="Arial" w:eastAsia="Arial" w:hAnsi="Arial"/>
                <w:sz w:val="21"/>
                <w:szCs w:val="21"/>
                <w:color w:val="auto"/>
                <w:vertAlign w:val="superscript"/>
              </w:rPr>
              <w:t>(c)</w:t>
            </w:r>
          </w:p>
        </w:tc>
        <w:tc>
          <w:tcPr>
            <w:tcW w:w="14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782</w:t>
            </w:r>
          </w:p>
        </w:tc>
      </w:tr>
      <w:tr>
        <w:trPr>
          <w:trHeight w:val="243"/>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revenues</w:t>
            </w:r>
            <w:r>
              <w:rPr>
                <w:rFonts w:ascii="Arial" w:cs="Arial" w:eastAsia="Arial" w:hAnsi="Arial"/>
                <w:sz w:val="21"/>
                <w:szCs w:val="21"/>
                <w:color w:val="auto"/>
                <w:vertAlign w:val="superscript"/>
              </w:rPr>
              <w:t>(d)</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29"/>
        </w:trPr>
        <w:tc>
          <w:tcPr>
            <w:tcW w:w="4880" w:type="dxa"/>
            <w:vAlign w:val="bottom"/>
          </w:tcPr>
          <w:p>
            <w:pPr>
              <w:ind w:left="20"/>
              <w:spacing w:after="0"/>
              <w:rPr>
                <w:sz w:val="20"/>
                <w:szCs w:val="20"/>
                <w:color w:val="auto"/>
              </w:rPr>
            </w:pPr>
            <w:r>
              <w:rPr>
                <w:rFonts w:ascii="Arial" w:cs="Arial" w:eastAsia="Arial" w:hAnsi="Arial"/>
                <w:sz w:val="16"/>
                <w:szCs w:val="16"/>
                <w:color w:val="auto"/>
              </w:rPr>
              <w:t>Total revenue from contracts with customers</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5,226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6,106</w:t>
            </w:r>
          </w:p>
        </w:tc>
      </w:tr>
      <w:tr>
        <w:trPr>
          <w:trHeight w:val="251"/>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revenue sources</w:t>
            </w:r>
            <w:r>
              <w:rPr>
                <w:rFonts w:ascii="Arial" w:cs="Arial" w:eastAsia="Arial" w:hAnsi="Arial"/>
                <w:sz w:val="21"/>
                <w:szCs w:val="21"/>
                <w:color w:val="auto"/>
                <w:vertAlign w:val="superscript"/>
              </w:rPr>
              <w:t>(e)</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r>
      <w:tr>
        <w:trPr>
          <w:trHeight w:val="237"/>
        </w:trPr>
        <w:tc>
          <w:tcPr>
            <w:tcW w:w="4880" w:type="dxa"/>
            <w:vAlign w:val="bottom"/>
          </w:tcPr>
          <w:p>
            <w:pPr>
              <w:ind w:left="20"/>
              <w:spacing w:after="0"/>
              <w:rPr>
                <w:sz w:val="20"/>
                <w:szCs w:val="20"/>
                <w:color w:val="auto"/>
              </w:rPr>
            </w:pPr>
            <w:r>
              <w:rPr>
                <w:rFonts w:ascii="Arial" w:cs="Arial" w:eastAsia="Arial" w:hAnsi="Arial"/>
                <w:sz w:val="16"/>
                <w:szCs w:val="16"/>
                <w:color w:val="auto"/>
              </w:rPr>
              <w:t>Total Operating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5,226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6,788</w:t>
            </w: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power and power-related revenues, including state-sponsored program revenues, ancillary revenues, and revenues from bundled contracts with customers.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revenues from regulated capacity auctions as well as bilateral capacity revenues recognized at negotiated contract prices.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natural gas sales and other gas-related revenues.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revenues primarily includes the sales of other energy-related products and sustainable solutions.</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revenue sources primarily includes revenues accounted for as derivatives, leases, and amortization of certain intangible assets and liabilities related to commodity contracts recorded at fair value from acquisitions.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Segment Information</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Operating segments are determined based on information used by the CODM in deciding how to evaluate performance and allocate resources. We have six reportable segments consisting of the Mid-Atlantic, Midwest, New York, ERCOT, all other power regions referred to collectively as “Other Power Regions,” and Calpine.</w:t>
      </w:r>
    </w:p>
    <w:p>
      <w:pPr>
        <w:spacing w:after="0" w:line="11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Following the acquisition of Calpine on January 7, 2026, Calpine's operations are being reported as a new reportable segment given the results of its operations will be reviewed by the CODM separately from our historical reporting segments.</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With the exception of Calpine, the basis for our reportable segments is the integrated management of our electricity business that is located in different geographic regions, and largely representative of the footprints of ISO/RTO and/or NERC regions, which utilize multiple supply sources to provide electricity through various distribution channels (wholesale and retail). Our hedging strategies and risk metrics are also aligned to these same geographic regions. Descriptions of each of our six reportable segments are as follows:</w:t>
      </w:r>
    </w:p>
    <w:p>
      <w:pPr>
        <w:spacing w:after="0" w:line="119" w:lineRule="exact"/>
        <w:rPr>
          <w:sz w:val="20"/>
          <w:szCs w:val="20"/>
          <w:color w:val="auto"/>
        </w:rPr>
      </w:pPr>
    </w:p>
    <w:p>
      <w:pPr>
        <w:ind w:left="780" w:hanging="327"/>
        <w:spacing w:after="0" w:line="304" w:lineRule="auto"/>
        <w:tabs>
          <w:tab w:leader="none" w:pos="76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Mid-Atlantic </w:t>
      </w:r>
      <w:r>
        <w:rPr>
          <w:rFonts w:ascii="Arial" w:cs="Arial" w:eastAsia="Arial" w:hAnsi="Arial"/>
          <w:sz w:val="16"/>
          <w:szCs w:val="16"/>
          <w:color w:val="auto"/>
        </w:rPr>
        <w:t>represents operations in the eastern half of PJM, which includes New Jersey, Maryland, Virginia, West Virginia, Delaware, the</w:t>
      </w:r>
      <w:r>
        <w:rPr>
          <w:rFonts w:ascii="Arial" w:cs="Arial" w:eastAsia="Arial" w:hAnsi="Arial"/>
          <w:sz w:val="16"/>
          <w:szCs w:val="16"/>
          <w:b w:val="1"/>
          <w:bCs w:val="1"/>
          <w:color w:val="auto"/>
        </w:rPr>
        <w:t xml:space="preserve"> </w:t>
      </w:r>
      <w:r>
        <w:rPr>
          <w:rFonts w:ascii="Arial" w:cs="Arial" w:eastAsia="Arial" w:hAnsi="Arial"/>
          <w:sz w:val="16"/>
          <w:szCs w:val="16"/>
          <w:color w:val="auto"/>
        </w:rPr>
        <w:t>District of Columbia, and parts of Pennsylvania and North Carolina.</w:t>
      </w:r>
    </w:p>
    <w:p>
      <w:pPr>
        <w:spacing w:after="0" w:line="87" w:lineRule="exact"/>
        <w:rPr>
          <w:rFonts w:ascii="Arial" w:cs="Arial" w:eastAsia="Arial" w:hAnsi="Arial"/>
          <w:sz w:val="16"/>
          <w:szCs w:val="16"/>
          <w:color w:val="auto"/>
        </w:rPr>
      </w:pPr>
    </w:p>
    <w:p>
      <w:pPr>
        <w:ind w:left="760" w:hanging="307"/>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Midwest </w:t>
      </w:r>
      <w:r>
        <w:rPr>
          <w:rFonts w:ascii="Arial" w:cs="Arial" w:eastAsia="Arial" w:hAnsi="Arial"/>
          <w:sz w:val="16"/>
          <w:szCs w:val="16"/>
          <w:color w:val="auto"/>
        </w:rPr>
        <w:t>represents operations in the western half of PJM and the United States footprint of MISO, excluding MISO’s Southern Region.</w:t>
      </w:r>
    </w:p>
    <w:p>
      <w:pPr>
        <w:spacing w:after="0" w:line="180" w:lineRule="exact"/>
        <w:rPr>
          <w:rFonts w:ascii="Arial" w:cs="Arial" w:eastAsia="Arial" w:hAnsi="Arial"/>
          <w:sz w:val="16"/>
          <w:szCs w:val="16"/>
          <w:color w:val="auto"/>
        </w:rPr>
      </w:pPr>
    </w:p>
    <w:p>
      <w:pPr>
        <w:ind w:left="760" w:hanging="307"/>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New York </w:t>
      </w:r>
      <w:r>
        <w:rPr>
          <w:rFonts w:ascii="Arial" w:cs="Arial" w:eastAsia="Arial" w:hAnsi="Arial"/>
          <w:sz w:val="16"/>
          <w:szCs w:val="16"/>
          <w:color w:val="auto"/>
        </w:rPr>
        <w:t>represents operations within NYISO.</w:t>
      </w:r>
    </w:p>
    <w:p>
      <w:pPr>
        <w:spacing w:after="0" w:line="167" w:lineRule="exact"/>
        <w:rPr>
          <w:rFonts w:ascii="Arial" w:cs="Arial" w:eastAsia="Arial" w:hAnsi="Arial"/>
          <w:sz w:val="16"/>
          <w:szCs w:val="16"/>
          <w:color w:val="auto"/>
        </w:rPr>
      </w:pPr>
    </w:p>
    <w:p>
      <w:pPr>
        <w:ind w:left="760" w:hanging="307"/>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ERCOT </w:t>
      </w:r>
      <w:r>
        <w:rPr>
          <w:rFonts w:ascii="Arial" w:cs="Arial" w:eastAsia="Arial" w:hAnsi="Arial"/>
          <w:sz w:val="16"/>
          <w:szCs w:val="16"/>
          <w:color w:val="auto"/>
        </w:rPr>
        <w:t>represents operations within Electric Reliability Council of Texas that covers a majority of the state of Texas.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5 — Segment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60" w:hanging="307"/>
        <w:spacing w:after="0"/>
        <w:tabs>
          <w:tab w:leader="none" w:pos="760"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Other Power Regions:</w:t>
      </w:r>
    </w:p>
    <w:p>
      <w:pPr>
        <w:spacing w:after="0" w:line="167" w:lineRule="exact"/>
        <w:rPr>
          <w:rFonts w:ascii="Arial" w:cs="Arial" w:eastAsia="Arial" w:hAnsi="Arial"/>
          <w:sz w:val="16"/>
          <w:szCs w:val="16"/>
          <w:color w:val="auto"/>
        </w:rPr>
      </w:pPr>
    </w:p>
    <w:p>
      <w:pPr>
        <w:ind w:left="960" w:hanging="304"/>
        <w:spacing w:after="0"/>
        <w:tabs>
          <w:tab w:leader="none" w:pos="960" w:val="left"/>
        </w:tabs>
        <w:numPr>
          <w:ilvl w:val="2"/>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New England </w:t>
      </w:r>
      <w:r>
        <w:rPr>
          <w:rFonts w:ascii="Arial" w:cs="Arial" w:eastAsia="Arial" w:hAnsi="Arial"/>
          <w:sz w:val="16"/>
          <w:szCs w:val="16"/>
          <w:color w:val="auto"/>
        </w:rPr>
        <w:t>represents operations within ISO-NE.</w:t>
      </w:r>
    </w:p>
    <w:p>
      <w:pPr>
        <w:spacing w:after="0" w:line="180" w:lineRule="exact"/>
        <w:rPr>
          <w:rFonts w:ascii="Arial" w:cs="Arial" w:eastAsia="Arial" w:hAnsi="Arial"/>
          <w:sz w:val="16"/>
          <w:szCs w:val="16"/>
          <w:color w:val="auto"/>
        </w:rPr>
      </w:pPr>
    </w:p>
    <w:p>
      <w:pPr>
        <w:ind w:left="960" w:hanging="304"/>
        <w:spacing w:after="0"/>
        <w:tabs>
          <w:tab w:leader="none" w:pos="960" w:val="left"/>
        </w:tabs>
        <w:numPr>
          <w:ilvl w:val="2"/>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South </w:t>
      </w:r>
      <w:r>
        <w:rPr>
          <w:rFonts w:ascii="Arial" w:cs="Arial" w:eastAsia="Arial" w:hAnsi="Arial"/>
          <w:sz w:val="16"/>
          <w:szCs w:val="16"/>
          <w:color w:val="auto"/>
        </w:rPr>
        <w:t>represents operations in FRCC, MISO’s Southern Region, and the remaining portions of SERC not included within MISO or PJM.</w:t>
      </w:r>
    </w:p>
    <w:p>
      <w:pPr>
        <w:spacing w:after="0" w:line="167" w:lineRule="exact"/>
        <w:rPr>
          <w:rFonts w:ascii="Arial" w:cs="Arial" w:eastAsia="Arial" w:hAnsi="Arial"/>
          <w:sz w:val="16"/>
          <w:szCs w:val="16"/>
          <w:color w:val="auto"/>
        </w:rPr>
      </w:pPr>
    </w:p>
    <w:p>
      <w:pPr>
        <w:ind w:left="960" w:hanging="304"/>
        <w:spacing w:after="0"/>
        <w:tabs>
          <w:tab w:leader="none" w:pos="960" w:val="left"/>
        </w:tabs>
        <w:numPr>
          <w:ilvl w:val="2"/>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West </w:t>
      </w:r>
      <w:r>
        <w:rPr>
          <w:rFonts w:ascii="Arial" w:cs="Arial" w:eastAsia="Arial" w:hAnsi="Arial"/>
          <w:sz w:val="16"/>
          <w:szCs w:val="16"/>
          <w:color w:val="auto"/>
        </w:rPr>
        <w:t>represents operations in WECC, which includes CAISO.</w:t>
      </w:r>
    </w:p>
    <w:p>
      <w:pPr>
        <w:spacing w:after="0" w:line="180" w:lineRule="exact"/>
        <w:rPr>
          <w:rFonts w:ascii="Arial" w:cs="Arial" w:eastAsia="Arial" w:hAnsi="Arial"/>
          <w:sz w:val="16"/>
          <w:szCs w:val="16"/>
          <w:color w:val="auto"/>
        </w:rPr>
      </w:pPr>
    </w:p>
    <w:p>
      <w:pPr>
        <w:ind w:left="960" w:hanging="304"/>
        <w:spacing w:after="0"/>
        <w:tabs>
          <w:tab w:leader="none" w:pos="960" w:val="left"/>
        </w:tabs>
        <w:numPr>
          <w:ilvl w:val="2"/>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Canada </w:t>
      </w:r>
      <w:r>
        <w:rPr>
          <w:rFonts w:ascii="Arial" w:cs="Arial" w:eastAsia="Arial" w:hAnsi="Arial"/>
          <w:sz w:val="16"/>
          <w:szCs w:val="16"/>
          <w:color w:val="auto"/>
        </w:rPr>
        <w:t>represents operations across the entire country of Canada and includes AESO, OIESO, and the Canadian portion of MISO.</w:t>
      </w:r>
    </w:p>
    <w:p>
      <w:pPr>
        <w:spacing w:after="0" w:line="167"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Calpine </w:t>
      </w:r>
      <w:r>
        <w:rPr>
          <w:rFonts w:ascii="Arial" w:cs="Arial" w:eastAsia="Arial" w:hAnsi="Arial"/>
          <w:sz w:val="16"/>
          <w:szCs w:val="16"/>
          <w:color w:val="auto"/>
        </w:rPr>
        <w:t>represents operations acquired through the merger with Calpine on January 7, 2026, which are located throughout the country,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CAISO, ERCOT, PJM, ISO-NE, NYISO, MISO, SERC, Arizona, Oregon, and Canada.</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Constellation's CEO is considered the CODM and evaluates the performance of our electric business activities and allocates resources based on segment RNF, primarily through review of budget-to-actual variance analyses. RNF is Operating revenues net of Purchased power and fuel expenses. We believe this is a useful measurement of operational performance, although it is not a presentation defined under GAAP and may not be comparable to other companies’ presentations nor deemed more useful than the GAAP information provided elsewhere in this report. In our evaluation of operating segments, we noted the CODM reviews a variety of performance and profitability measures at a consolidated level with a primary focus on RNF reporting at the geographic regional level, with the exception of Calpine which is reviewed on a standalone basis. Our operating revenues include all sales to third parties as well as government assistance. Purchased power and fuel expenses are considered the most significant segment expense. Purchased power costs include all costs associated with the procurement and supply of electricity including capacity, energy, and ancillary services. Fuel expense includes the fuel costs for our owned generation and fuel costs associated with tolling agreements. The results of our other business activities are not regularly reviewed by the CODM and are therefore not classified as operating segments nor included in the reportable segment amounts. These activities include wholesale and retail sales of natural gas, with the exception of Calpine's natural gas sales which are included in the Calpine segment, energy-related sales in the United Kingdom, as well as sales of other energy-related products and sustainable solutions that are not significant to our overall results of operations. Further, our unrealized gains and losses on economic hedging activities and our amortization of certain intangible assets and liabilities relating to commodity contracts recorded at fair value from mergers and acquisitions are also excluded from the reportable segment amounts. The CODM does not use a measure of total assets in making decisions regarding allocating resources to or assessing the performance of these reportable segments.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tables, which relate directly to our Consolidated Statements of Operations and Comprehensive Income, provide the reconciliation of operating revenues, purchased power and fuel expenses, and RNF for our reportable segments for the three months ended March 31, 2026 and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 March 31, 2026</w:t>
            </w:r>
          </w:p>
        </w:tc>
        <w:tc>
          <w:tcPr>
            <w:tcW w:w="2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Total Operating</w:t>
            </w:r>
          </w:p>
        </w:tc>
        <w:tc>
          <w:tcPr>
            <w:tcW w:w="1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Total Purchased power</w:t>
            </w:r>
          </w:p>
        </w:tc>
        <w:tc>
          <w:tcPr>
            <w:tcW w:w="300" w:type="dxa"/>
            <w:vAlign w:val="bottom"/>
          </w:tcPr>
          <w:p>
            <w:pPr>
              <w:spacing w:after="0"/>
              <w:rPr>
                <w:sz w:val="14"/>
                <w:szCs w:val="14"/>
                <w:color w:val="auto"/>
              </w:rPr>
            </w:pPr>
          </w:p>
        </w:tc>
        <w:tc>
          <w:tcPr>
            <w:tcW w:w="1220" w:type="dxa"/>
            <w:vAlign w:val="bottom"/>
            <w:vMerge w:val="restart"/>
          </w:tcPr>
          <w:p>
            <w:pPr>
              <w:jc w:val="right"/>
              <w:ind w:right="381"/>
              <w:spacing w:after="0"/>
              <w:rPr>
                <w:sz w:val="20"/>
                <w:szCs w:val="20"/>
                <w:color w:val="auto"/>
              </w:rPr>
            </w:pPr>
            <w:r>
              <w:rPr>
                <w:rFonts w:ascii="Arial" w:cs="Arial" w:eastAsia="Arial" w:hAnsi="Arial"/>
                <w:sz w:val="13"/>
                <w:szCs w:val="13"/>
                <w:b w:val="1"/>
                <w:bCs w:val="1"/>
                <w:color w:val="auto"/>
              </w:rPr>
              <w:t>Total RNF</w:t>
            </w:r>
          </w:p>
        </w:tc>
        <w:tc>
          <w:tcPr>
            <w:tcW w:w="0" w:type="dxa"/>
            <w:vAlign w:val="bottom"/>
          </w:tcPr>
          <w:p>
            <w:pPr>
              <w:spacing w:after="0"/>
              <w:rPr>
                <w:sz w:val="1"/>
                <w:szCs w:val="1"/>
                <w:color w:val="auto"/>
              </w:rPr>
            </w:pPr>
          </w:p>
        </w:tc>
      </w:tr>
      <w:tr>
        <w:trPr>
          <w:trHeight w:val="176"/>
        </w:trPr>
        <w:tc>
          <w:tcPr>
            <w:tcW w:w="6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revenues</w:t>
            </w:r>
          </w:p>
        </w:tc>
        <w:tc>
          <w:tcPr>
            <w:tcW w:w="1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and fuel expenses</w:t>
            </w:r>
          </w:p>
        </w:tc>
        <w:tc>
          <w:tcPr>
            <w:tcW w:w="3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1,847</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35"/>
        </w:trPr>
        <w:tc>
          <w:tcPr>
            <w:tcW w:w="6480" w:type="dxa"/>
            <w:vAlign w:val="bottom"/>
          </w:tcPr>
          <w:p>
            <w:pPr>
              <w:ind w:left="20"/>
              <w:spacing w:after="0"/>
              <w:rPr>
                <w:sz w:val="20"/>
                <w:szCs w:val="20"/>
                <w:color w:val="auto"/>
              </w:rPr>
            </w:pPr>
            <w:r>
              <w:rPr>
                <w:rFonts w:ascii="Arial" w:cs="Arial" w:eastAsia="Arial" w:hAnsi="Arial"/>
                <w:sz w:val="16"/>
                <w:szCs w:val="16"/>
                <w:color w:val="auto"/>
              </w:rPr>
              <w:t>Midwest</w:t>
            </w:r>
          </w:p>
        </w:tc>
        <w:tc>
          <w:tcPr>
            <w:tcW w:w="200" w:type="dxa"/>
            <w:vAlign w:val="bottom"/>
          </w:tcPr>
          <w:p>
            <w:pPr>
              <w:spacing w:after="0"/>
              <w:rPr>
                <w:sz w:val="20"/>
                <w:szCs w:val="20"/>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1,732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51"/>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35"/>
        </w:trPr>
        <w:tc>
          <w:tcPr>
            <w:tcW w:w="6480" w:type="dxa"/>
            <w:vAlign w:val="bottom"/>
          </w:tcPr>
          <w:p>
            <w:pPr>
              <w:ind w:left="20"/>
              <w:spacing w:after="0"/>
              <w:rPr>
                <w:sz w:val="20"/>
                <w:szCs w:val="20"/>
                <w:color w:val="auto"/>
              </w:rPr>
            </w:pPr>
            <w:r>
              <w:rPr>
                <w:rFonts w:ascii="Arial" w:cs="Arial" w:eastAsia="Arial" w:hAnsi="Arial"/>
                <w:sz w:val="16"/>
                <w:szCs w:val="16"/>
                <w:color w:val="auto"/>
              </w:rPr>
              <w:t>ERCOT</w:t>
            </w:r>
          </w:p>
        </w:tc>
        <w:tc>
          <w:tcPr>
            <w:tcW w:w="200" w:type="dxa"/>
            <w:vAlign w:val="bottom"/>
          </w:tcPr>
          <w:p>
            <w:pPr>
              <w:spacing w:after="0"/>
              <w:rPr>
                <w:sz w:val="20"/>
                <w:szCs w:val="20"/>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51"/>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Calpine</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2,395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Reportable Segments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3,677</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(a)</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2,722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Consolidated Results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11,122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4,770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5 — Segment Information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Total Operating</w:t>
            </w:r>
          </w:p>
        </w:tc>
        <w:tc>
          <w:tcPr>
            <w:tcW w:w="1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Total Purchased power</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2"/>
        </w:trPr>
        <w:tc>
          <w:tcPr>
            <w:tcW w:w="6460" w:type="dxa"/>
            <w:vAlign w:val="bottom"/>
          </w:tcPr>
          <w:p>
            <w:pPr>
              <w:ind w:left="20"/>
              <w:spacing w:after="0"/>
              <w:rPr>
                <w:sz w:val="20"/>
                <w:szCs w:val="20"/>
                <w:color w:val="auto"/>
              </w:rPr>
            </w:pPr>
            <w:r>
              <w:rPr>
                <w:rFonts w:ascii="Arial" w:cs="Arial" w:eastAsia="Arial" w:hAnsi="Arial"/>
                <w:sz w:val="13"/>
                <w:szCs w:val="13"/>
                <w:b w:val="1"/>
                <w:bCs w:val="1"/>
                <w:color w:val="auto"/>
              </w:rPr>
              <w:t>Three Months Ended March 31, 2025</w:t>
            </w: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revenues</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and fuel expenses</w:t>
            </w:r>
          </w:p>
        </w:tc>
        <w:tc>
          <w:tcPr>
            <w:tcW w:w="300" w:type="dxa"/>
            <w:vAlign w:val="bottom"/>
          </w:tcPr>
          <w:p>
            <w:pPr>
              <w:spacing w:after="0"/>
              <w:rPr>
                <w:sz w:val="14"/>
                <w:szCs w:val="14"/>
                <w:color w:val="auto"/>
              </w:rPr>
            </w:pPr>
          </w:p>
        </w:tc>
        <w:tc>
          <w:tcPr>
            <w:tcW w:w="1220" w:type="dxa"/>
            <w:vAlign w:val="bottom"/>
          </w:tcPr>
          <w:p>
            <w:pPr>
              <w:jc w:val="right"/>
              <w:ind w:right="381"/>
              <w:spacing w:after="0"/>
              <w:rPr>
                <w:sz w:val="20"/>
                <w:szCs w:val="20"/>
                <w:color w:val="auto"/>
              </w:rPr>
            </w:pPr>
            <w:r>
              <w:rPr>
                <w:rFonts w:ascii="Arial" w:cs="Arial" w:eastAsia="Arial" w:hAnsi="Arial"/>
                <w:sz w:val="13"/>
                <w:szCs w:val="13"/>
                <w:b w:val="1"/>
                <w:bCs w:val="1"/>
                <w:color w:val="auto"/>
              </w:rPr>
              <w:t>Total RNF</w:t>
            </w:r>
          </w:p>
        </w:tc>
      </w:tr>
      <w:tr>
        <w:trPr>
          <w:trHeight w:val="22"/>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809</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Midwest</w:t>
            </w:r>
          </w:p>
        </w:tc>
        <w:tc>
          <w:tcPr>
            <w:tcW w:w="20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1,404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850</w:t>
            </w:r>
          </w:p>
        </w:tc>
      </w:tr>
      <w:tr>
        <w:trPr>
          <w:trHeight w:val="251"/>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401</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ERCOT</w:t>
            </w:r>
          </w:p>
        </w:tc>
        <w:tc>
          <w:tcPr>
            <w:tcW w:w="20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214</w:t>
            </w:r>
          </w:p>
        </w:tc>
      </w:tr>
      <w:tr>
        <w:trPr>
          <w:trHeight w:val="24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1,556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194</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Total Reportable Segments</w:t>
            </w:r>
          </w:p>
        </w:tc>
        <w:tc>
          <w:tcPr>
            <w:tcW w:w="20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5,585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2,468</w:t>
            </w:r>
          </w:p>
        </w:tc>
      </w:tr>
      <w:tr>
        <w:trPr>
          <w:trHeight w:val="251"/>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(a)</w:t>
            </w: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1,203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7"/>
        </w:trPr>
        <w:tc>
          <w:tcPr>
            <w:tcW w:w="6460" w:type="dxa"/>
            <w:vAlign w:val="bottom"/>
          </w:tcPr>
          <w:p>
            <w:pPr>
              <w:ind w:left="20"/>
              <w:spacing w:after="0"/>
              <w:rPr>
                <w:sz w:val="20"/>
                <w:szCs w:val="20"/>
                <w:color w:val="auto"/>
              </w:rPr>
            </w:pPr>
            <w:r>
              <w:rPr>
                <w:rFonts w:ascii="Arial" w:cs="Arial" w:eastAsia="Arial" w:hAnsi="Arial"/>
                <w:sz w:val="16"/>
                <w:szCs w:val="16"/>
                <w:color w:val="auto"/>
              </w:rPr>
              <w:t>Total Consolidated Results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6,788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(4,384)</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2,404</w:t>
            </w:r>
          </w:p>
        </w:tc>
      </w:tr>
      <w:tr>
        <w:trPr>
          <w:trHeight w:val="21"/>
        </w:trPr>
        <w:tc>
          <w:tcPr>
            <w:tcW w:w="6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jc w:val="both"/>
        <w:ind w:left="340" w:hanging="332"/>
        <w:spacing w:after="0" w:line="263"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activities not allocated to a segment. See text above for a description of included activities. Operating revenues include unrealized gains of $1,315 million and losses of $287 million for the three months ended March 31, 2026 and 2025, respectively. Purchased power and fuel expenses include unrealized losses of $254 million and $34 million for the three months ended March 31, 2026 and 2025,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Government Assistance</w:t>
      </w:r>
    </w:p>
    <w:p>
      <w:pPr>
        <w:spacing w:after="0" w:line="16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Beginning in 2024, our nuclear units are eligible for a PTC extending through 2032. See Note 1 — Basis of Presentation and Note 6 — Government Assistance of our 2025 Form 10-K for additional information on nuclear PTCs.</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For the three months ended March 31, 2026 and 2025, we did not record a material nuclear PTC benefit as the estimate of full year gross receipts exceeded the phase-out for annual gross receipts per MWh for most units. As of March 31, 2026 and December 31, 2025, our Consolidated Balance Sheets reflect approximately $125 million and $120 million, respectively, of nuclear PTCs within Other deferred debits and other assets. For the three months ended March 31, 2026, we did not utilize any estimated nuclear PTCs as a credit against our current federal income taxes payable. For the year ended December 31, 2025, we recognized a reduction to Accounts payable and accrued expenses in our Consolidated Balance Sheets of $375 million for estimated nuclear PTCs that we have utilized as a credit against our current federal income taxes payable.</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Many of the state-sponsored programs providing compensation for the emissions-free attributes of generation from certain of our nuclear units include contractual or other provisions that require us to refund that compensation up to the amount of the nuclear PTC received or pass through the entirety of the nuclear PTC received. As of March 31, 2026 and December 31, 2025, we have recognized approximately $740 million and $1,190 million, respectively, of estimated payables within Other deferred credits and other liabilities, Accounts payable and accrued expenses or as offsets to Accounts receivable, net in our Consolidated Balance Sheets associated with programs requiring refunds or pass through of the nuclear PTC. In general, we expect to remit refunds or pass-throughs of state-sponsored program compensation related to nuclear PTCs in the year following the filing of the related tax return. During the three months ended March 31, 2026, we refunded or offset against outstanding receivables approximately $450 million associated with state-sponsored program compensation relating to the nuclear PTCs recorded in 2024. During the three months ended March 31, 2026, we recognized a reduction to net operating revenue of approximately $285 million associated with these programs in our Consolidated Statements of Operations and Comprehensive Income, compared to an increase to net operating revenue (pre-tax) of approximately $110 million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Note 7 — Accounts Receivable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Accounts Receivable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additional information on the disaggregation of customer and other accounts receivable: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80" w:type="dxa"/>
            <w:vAlign w:val="bottom"/>
            <w:gridSpan w:val="3"/>
          </w:tcPr>
          <w:p>
            <w:pPr>
              <w:jc w:val="right"/>
              <w:spacing w:after="0"/>
              <w:rPr>
                <w:sz w:val="20"/>
                <w:szCs w:val="20"/>
                <w:color w:val="auto"/>
              </w:rPr>
            </w:pPr>
            <w:r>
              <w:rPr>
                <w:rFonts w:ascii="Arial" w:cs="Arial" w:eastAsia="Arial" w:hAnsi="Arial"/>
                <w:sz w:val="13"/>
                <w:szCs w:val="13"/>
                <w:b w:val="1"/>
                <w:bCs w:val="1"/>
                <w:color w:val="auto"/>
              </w:rPr>
              <w:t>Accounts receivable, net</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March 31, 2026</w:t>
            </w:r>
          </w:p>
        </w:tc>
        <w:tc>
          <w:tcPr>
            <w:tcW w:w="5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2"/>
          </w:tcPr>
          <w:p>
            <w:pPr>
              <w:ind w:left="400"/>
              <w:spacing w:after="0"/>
              <w:rPr>
                <w:sz w:val="20"/>
                <w:szCs w:val="20"/>
                <w:color w:val="auto"/>
              </w:rPr>
            </w:pPr>
            <w:r>
              <w:rPr>
                <w:rFonts w:ascii="Arial" w:cs="Arial" w:eastAsia="Arial" w:hAnsi="Arial"/>
                <w:sz w:val="13"/>
                <w:szCs w:val="13"/>
                <w:b w:val="1"/>
                <w:bCs w:val="1"/>
                <w:color w:val="auto"/>
              </w:rPr>
              <w:t>CEG Parent</w:t>
            </w:r>
          </w:p>
        </w:tc>
        <w:tc>
          <w:tcPr>
            <w:tcW w:w="760" w:type="dxa"/>
            <w:vAlign w:val="bottom"/>
          </w:tcPr>
          <w:p>
            <w:pPr>
              <w:spacing w:after="0"/>
              <w:rPr>
                <w:sz w:val="15"/>
                <w:szCs w:val="15"/>
                <w:color w:val="auto"/>
              </w:rPr>
            </w:pPr>
          </w:p>
        </w:tc>
        <w:tc>
          <w:tcPr>
            <w:tcW w:w="1740" w:type="dxa"/>
            <w:vAlign w:val="bottom"/>
          </w:tcPr>
          <w:p>
            <w:pPr>
              <w:jc w:val="right"/>
              <w:ind w:right="762"/>
              <w:spacing w:after="0"/>
              <w:rPr>
                <w:sz w:val="20"/>
                <w:szCs w:val="20"/>
                <w:color w:val="auto"/>
              </w:rPr>
            </w:pPr>
            <w:r>
              <w:rPr>
                <w:rFonts w:ascii="Arial" w:cs="Arial" w:eastAsia="Arial" w:hAnsi="Arial"/>
                <w:sz w:val="13"/>
                <w:szCs w:val="13"/>
                <w:b w:val="1"/>
                <w:bCs w:val="1"/>
                <w:color w:val="auto"/>
              </w:rPr>
              <w:t>Constellation</w:t>
            </w:r>
          </w:p>
        </w:tc>
        <w:tc>
          <w:tcPr>
            <w:tcW w:w="0" w:type="dxa"/>
            <w:vAlign w:val="bottom"/>
          </w:tcPr>
          <w:p>
            <w:pPr>
              <w:spacing w:after="0"/>
              <w:rPr>
                <w:sz w:val="1"/>
                <w:szCs w:val="1"/>
                <w:color w:val="auto"/>
              </w:rPr>
            </w:pPr>
          </w:p>
        </w:tc>
      </w:tr>
      <w:tr>
        <w:trPr>
          <w:trHeight w:val="22"/>
        </w:trPr>
        <w:tc>
          <w:tcPr>
            <w:tcW w:w="6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12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Customer accounts receivable (net of allowance for credit losses of $157 for CEG</w:t>
            </w:r>
          </w:p>
        </w:tc>
        <w:tc>
          <w:tcPr>
            <w:tcW w:w="5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Parent and Constellation)</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3,960</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3,960</w:t>
            </w:r>
          </w:p>
        </w:tc>
        <w:tc>
          <w:tcPr>
            <w:tcW w:w="0" w:type="dxa"/>
            <w:vAlign w:val="bottom"/>
          </w:tcPr>
          <w:p>
            <w:pPr>
              <w:spacing w:after="0"/>
              <w:rPr>
                <w:sz w:val="1"/>
                <w:szCs w:val="1"/>
                <w:color w:val="auto"/>
              </w:rPr>
            </w:pPr>
          </w:p>
        </w:tc>
      </w:tr>
      <w:tr>
        <w:trPr>
          <w:trHeight w:val="202"/>
        </w:trPr>
        <w:tc>
          <w:tcPr>
            <w:tcW w:w="6120" w:type="dxa"/>
            <w:vAlign w:val="bottom"/>
          </w:tcPr>
          <w:p>
            <w:pPr>
              <w:ind w:left="20"/>
              <w:spacing w:after="0"/>
              <w:rPr>
                <w:sz w:val="20"/>
                <w:szCs w:val="20"/>
                <w:color w:val="auto"/>
              </w:rPr>
            </w:pPr>
            <w:r>
              <w:rPr>
                <w:rFonts w:ascii="Arial" w:cs="Arial" w:eastAsia="Arial" w:hAnsi="Arial"/>
                <w:sz w:val="16"/>
                <w:szCs w:val="16"/>
                <w:color w:val="auto"/>
              </w:rPr>
              <w:t>Other accounts receivable (net of allowance for credit losses of $— for CEG Parent</w:t>
            </w:r>
          </w:p>
        </w:tc>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and Constellation)</w:t>
            </w:r>
          </w:p>
        </w:tc>
        <w:tc>
          <w:tcPr>
            <w:tcW w:w="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41"/>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4,414</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4,392</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December 31, 2025</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2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accounts receivable (net of allowance for credit losses of $158 for CEG</w:t>
            </w:r>
          </w:p>
        </w:tc>
        <w:tc>
          <w:tcPr>
            <w:tcW w:w="5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Parent and Constellation)</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3,577</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202"/>
        </w:trPr>
        <w:tc>
          <w:tcPr>
            <w:tcW w:w="6120" w:type="dxa"/>
            <w:vAlign w:val="bottom"/>
          </w:tcPr>
          <w:p>
            <w:pPr>
              <w:ind w:left="20"/>
              <w:spacing w:after="0"/>
              <w:rPr>
                <w:sz w:val="20"/>
                <w:szCs w:val="20"/>
                <w:color w:val="auto"/>
              </w:rPr>
            </w:pPr>
            <w:r>
              <w:rPr>
                <w:rFonts w:ascii="Arial" w:cs="Arial" w:eastAsia="Arial" w:hAnsi="Arial"/>
                <w:sz w:val="16"/>
                <w:szCs w:val="16"/>
                <w:color w:val="auto"/>
              </w:rPr>
              <w:t>Other accounts receivable (net of allowance for credit losses of $9 for CEG Parent</w:t>
            </w:r>
          </w:p>
        </w:tc>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and Constellation)</w:t>
            </w:r>
          </w:p>
        </w:tc>
        <w:tc>
          <w:tcPr>
            <w:tcW w:w="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689</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6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4,266</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4,251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Credit Losses on Accounts Receivable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rollforward of allowance for credit losses on customer accounts receivable from January 1, 2026 to March 31, 2026.</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1, 2026</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35"/>
        </w:trPr>
        <w:tc>
          <w:tcPr>
            <w:tcW w:w="8700" w:type="dxa"/>
            <w:vAlign w:val="bottom"/>
          </w:tcPr>
          <w:p>
            <w:pPr>
              <w:ind w:left="20"/>
              <w:spacing w:after="0"/>
              <w:rPr>
                <w:sz w:val="20"/>
                <w:szCs w:val="20"/>
                <w:color w:val="auto"/>
              </w:rPr>
            </w:pPr>
            <w:r>
              <w:rPr>
                <w:rFonts w:ascii="Arial" w:cs="Arial" w:eastAsia="Arial" w:hAnsi="Arial"/>
                <w:sz w:val="16"/>
                <w:szCs w:val="16"/>
                <w:color w:val="auto"/>
              </w:rPr>
              <w:t>Current period provision for expected credit losses</w:t>
            </w:r>
          </w:p>
        </w:tc>
        <w:tc>
          <w:tcPr>
            <w:tcW w:w="1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net of recoveries</w:t>
            </w:r>
            <w:r>
              <w:rPr>
                <w:rFonts w:ascii="Arial" w:cs="Arial" w:eastAsia="Arial" w:hAnsi="Arial"/>
                <w:sz w:val="21"/>
                <w:szCs w:val="21"/>
                <w:color w:val="auto"/>
                <w:vertAlign w:val="superscript"/>
              </w:rPr>
              <w:t>(a)</w:t>
            </w:r>
          </w:p>
        </w:tc>
        <w:tc>
          <w:tcPr>
            <w:tcW w:w="1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6"/>
        </w:trPr>
        <w:tc>
          <w:tcPr>
            <w:tcW w:w="8700" w:type="dxa"/>
            <w:vAlign w:val="bottom"/>
          </w:tcPr>
          <w:p>
            <w:pPr>
              <w:ind w:left="20"/>
              <w:spacing w:after="0"/>
              <w:rPr>
                <w:sz w:val="20"/>
                <w:szCs w:val="20"/>
                <w:color w:val="auto"/>
              </w:rPr>
            </w:pPr>
            <w:r>
              <w:rPr>
                <w:rFonts w:ascii="Arial" w:cs="Arial" w:eastAsia="Arial" w:hAnsi="Arial"/>
                <w:sz w:val="16"/>
                <w:szCs w:val="16"/>
                <w:color w:val="auto"/>
              </w:rPr>
              <w:t>Balance as of March 31, 2026</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0"/>
        </w:trPr>
        <w:tc>
          <w:tcPr>
            <w:tcW w:w="8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Recoveries were not material.</w:t>
      </w:r>
    </w:p>
    <w:p>
      <w:pPr>
        <w:spacing w:after="0" w:line="158" w:lineRule="exact"/>
        <w:rPr>
          <w:sz w:val="20"/>
          <w:szCs w:val="20"/>
          <w:color w:val="auto"/>
        </w:rPr>
      </w:pPr>
    </w:p>
    <w:p>
      <w:pPr>
        <w:ind w:right="540"/>
        <w:spacing w:after="0" w:line="457" w:lineRule="auto"/>
        <w:rPr>
          <w:sz w:val="20"/>
          <w:szCs w:val="20"/>
          <w:color w:val="auto"/>
        </w:rPr>
      </w:pPr>
      <w:r>
        <w:rPr>
          <w:rFonts w:ascii="Arial" w:cs="Arial" w:eastAsia="Arial" w:hAnsi="Arial"/>
          <w:sz w:val="16"/>
          <w:szCs w:val="16"/>
          <w:color w:val="auto"/>
        </w:rPr>
        <w:t xml:space="preserve">The allowance for credit losses on other accounts receivable was not material as of the balance sheet dates, therefore, a rollforward is not presented. </w:t>
      </w:r>
      <w:r>
        <w:rPr>
          <w:rFonts w:ascii="Arial" w:cs="Arial" w:eastAsia="Arial" w:hAnsi="Arial"/>
          <w:sz w:val="16"/>
          <w:szCs w:val="16"/>
          <w:b w:val="1"/>
          <w:bCs w:val="1"/>
          <w:color w:val="auto"/>
        </w:rPr>
        <w:t>Unbilled Customer Revenue</w:t>
      </w:r>
    </w:p>
    <w:p>
      <w:pPr>
        <w:spacing w:after="0" w:line="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recorded $1,465 million and $1,305 million of unbilled customer revenues in Accounts receivable, net in the Consolidated Balance Sheets as of March 31, 2026 and December 31, 2025,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Calpine Accounts Receivable Sales Program</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Following the acquisition of Calpine on January 7, 2026, the Company has assumed Calpine's Accounts Receivable Sales Program (Calpine AR Facility). The Calpine AR Facility was established by Calpine in December 2016 and was last renewed in November 2025 with a current expiration of November 2026. The Calpine AR Facility is a receivables purchase agreement between Calpine Energy Solutions, LLC and Calpine Receivables, LLC, a wholly-owned subsidiary that is accounted for as an unconsolidated VIE, along with an additional purchase and sale agreement between Calpine Receivables, LLC, and unaffiliated financial institutions, the combination of which allow for the revolving sale of up to $500 million in certain trade accounts receivables of Calpine Energy Solutions, LLC to third parties at a nominal discount.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7 — Accounts Receivable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Receivables sold under the Calpine AR Facility are accounted for as sales and excluded from Accounts receivable, net in the Consolidated Balance Sheets and reflected as Cash provided by operating activities in the Consolidated Statements of Cash Flows. Any portion of the purchase price for the sold receivables which is not paid in cash is recorded as a short-term note receivable within Accounts receivable, net, which was not material as of March 31, 2026. Our risk of loss following the transfer of accounts receivable is limited to the note receivable outstanding. Payment of the note receivable is not subject to significant risks other than delinquencies and credit losses on accounts receivable transferred.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guaranteed the performance of Calpine Energy Solutions, LLC to Calpine Receivables, LLC under the Calpine AR Facility, see Note 15</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Commitments and Contingencies for additional information. Additionally, see Note 17 — Variable Interest Entities for additional information on Calpine Receivables, LLC and its status as an unconsolidated VIE.</w:t>
      </w:r>
    </w:p>
    <w:p>
      <w:pPr>
        <w:spacing w:after="0" w:line="104"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There was $564 million in gross accounts receivable outstanding that were sold at a nominal discount under the Calpine AR Facility as of March 31, 2026 and the $500 million facility amount was fully utilized. The following table summarizes certain activity for the period under the Calpine AR Facility: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w w:val="99"/>
              </w:rPr>
              <w:t>Three Months Ended March 31, 2026</w:t>
            </w:r>
          </w:p>
        </w:tc>
      </w:tr>
      <w:tr>
        <w:trPr>
          <w:trHeight w:val="227"/>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Aggregate receivables sold during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1,205</w:t>
            </w:r>
          </w:p>
        </w:tc>
      </w:tr>
      <w:tr>
        <w:trPr>
          <w:trHeight w:val="241"/>
        </w:trPr>
        <w:tc>
          <w:tcPr>
            <w:tcW w:w="8520" w:type="dxa"/>
            <w:vAlign w:val="bottom"/>
          </w:tcPr>
          <w:p>
            <w:pPr>
              <w:ind w:left="20"/>
              <w:spacing w:after="0"/>
              <w:rPr>
                <w:sz w:val="20"/>
                <w:szCs w:val="20"/>
                <w:color w:val="auto"/>
              </w:rPr>
            </w:pPr>
            <w:r>
              <w:rPr>
                <w:rFonts w:ascii="Arial" w:cs="Arial" w:eastAsia="Arial" w:hAnsi="Arial"/>
                <w:sz w:val="16"/>
                <w:szCs w:val="16"/>
                <w:color w:val="auto"/>
              </w:rPr>
              <w:t>Proceeds collected on sold receivables</w:t>
            </w:r>
          </w:p>
        </w:tc>
        <w:tc>
          <w:tcPr>
            <w:tcW w:w="180" w:type="dxa"/>
            <w:vAlign w:val="bottom"/>
          </w:tcPr>
          <w:p>
            <w:pPr>
              <w:spacing w:after="0"/>
              <w:rPr>
                <w:sz w:val="20"/>
                <w:szCs w:val="20"/>
                <w:color w:val="auto"/>
              </w:rPr>
            </w:pPr>
          </w:p>
        </w:tc>
        <w:tc>
          <w:tcPr>
            <w:tcW w:w="2540" w:type="dxa"/>
            <w:vAlign w:val="bottom"/>
          </w:tcPr>
          <w:p>
            <w:pPr>
              <w:jc w:val="right"/>
              <w:ind w:right="5"/>
              <w:spacing w:after="0"/>
              <w:rPr>
                <w:sz w:val="20"/>
                <w:szCs w:val="20"/>
                <w:color w:val="auto"/>
              </w:rPr>
            </w:pPr>
            <w:r>
              <w:rPr>
                <w:rFonts w:ascii="Arial" w:cs="Arial" w:eastAsia="Arial" w:hAnsi="Arial"/>
                <w:sz w:val="16"/>
                <w:szCs w:val="16"/>
                <w:color w:val="auto"/>
              </w:rPr>
              <w:t>1,126</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Sales of Customer Accounts Receivables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required, under supplier tariffs, to sell customer receivables to certain utility companies at a nominal discount. The total gross receivables sold were $1,244 million and $1,147 million for the three months ended March 31, 2026 and 2025,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Plant, and Equipment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property, plant, and equipment by asset category as of March 31, 2026 and December 31,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ind w:left="20"/>
              <w:spacing w:after="0"/>
              <w:rPr>
                <w:sz w:val="20"/>
                <w:szCs w:val="20"/>
                <w:color w:val="auto"/>
              </w:rPr>
            </w:pPr>
            <w:r>
              <w:rPr>
                <w:rFonts w:ascii="Arial" w:cs="Arial" w:eastAsia="Arial" w:hAnsi="Arial"/>
                <w:sz w:val="13"/>
                <w:szCs w:val="13"/>
                <w:b w:val="1"/>
                <w:bCs w:val="1"/>
                <w:color w:val="auto"/>
              </w:rPr>
              <w:t>Asset Category</w:t>
            </w:r>
          </w:p>
        </w:tc>
        <w:tc>
          <w:tcPr>
            <w:tcW w:w="460" w:type="dxa"/>
            <w:vAlign w:val="bottom"/>
          </w:tcPr>
          <w:p>
            <w:pPr>
              <w:spacing w:after="0"/>
              <w:rPr>
                <w:sz w:val="14"/>
                <w:szCs w:val="14"/>
                <w:color w:val="auto"/>
              </w:rPr>
            </w:pPr>
          </w:p>
        </w:tc>
        <w:tc>
          <w:tcPr>
            <w:tcW w:w="2160" w:type="dxa"/>
            <w:vAlign w:val="bottom"/>
            <w:gridSpan w:val="2"/>
          </w:tcPr>
          <w:p>
            <w:pPr>
              <w:ind w:left="340"/>
              <w:spacing w:after="0"/>
              <w:rPr>
                <w:sz w:val="20"/>
                <w:szCs w:val="20"/>
                <w:color w:val="auto"/>
              </w:rPr>
            </w:pPr>
            <w:r>
              <w:rPr>
                <w:rFonts w:ascii="Arial" w:cs="Arial" w:eastAsia="Arial" w:hAnsi="Arial"/>
                <w:sz w:val="13"/>
                <w:szCs w:val="13"/>
                <w:b w:val="1"/>
                <w:bCs w:val="1"/>
                <w:color w:val="auto"/>
              </w:rPr>
              <w:t>March 31, 2026</w:t>
            </w:r>
          </w:p>
        </w:tc>
        <w:tc>
          <w:tcPr>
            <w:tcW w:w="400" w:type="dxa"/>
            <w:vAlign w:val="bottom"/>
          </w:tcPr>
          <w:p>
            <w:pPr>
              <w:spacing w:after="0"/>
              <w:rPr>
                <w:sz w:val="14"/>
                <w:szCs w:val="14"/>
                <w:color w:val="auto"/>
              </w:rPr>
            </w:pPr>
          </w:p>
        </w:tc>
        <w:tc>
          <w:tcPr>
            <w:tcW w:w="2100" w:type="dxa"/>
            <w:vAlign w:val="bottom"/>
          </w:tcPr>
          <w:p>
            <w:pPr>
              <w:jc w:val="right"/>
              <w:ind w:right="602"/>
              <w:spacing w:after="0"/>
              <w:rPr>
                <w:sz w:val="20"/>
                <w:szCs w:val="20"/>
                <w:color w:val="auto"/>
              </w:rPr>
            </w:pPr>
            <w:r>
              <w:rPr>
                <w:rFonts w:ascii="Arial" w:cs="Arial" w:eastAsia="Arial" w:hAnsi="Arial"/>
                <w:sz w:val="13"/>
                <w:szCs w:val="13"/>
                <w:b w:val="1"/>
                <w:bCs w:val="1"/>
                <w:color w:val="auto"/>
              </w:rPr>
              <w:t>December 31, 2025</w:t>
            </w:r>
          </w:p>
        </w:tc>
      </w:tr>
      <w:tr>
        <w:trPr>
          <w:trHeight w:val="22"/>
        </w:trPr>
        <w:tc>
          <w:tcPr>
            <w:tcW w:w="6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37"/>
        </w:trPr>
        <w:tc>
          <w:tcPr>
            <w:tcW w:w="612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Electric</w:t>
            </w:r>
            <w:r>
              <w:rPr>
                <w:rFonts w:ascii="Arial" w:cs="Arial" w:eastAsia="Arial" w:hAnsi="Arial"/>
                <w:sz w:val="21"/>
                <w:szCs w:val="21"/>
                <w:color w:val="auto"/>
                <w:vertAlign w:val="superscript"/>
              </w:rPr>
              <w:t>(a)</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49,844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33,253</w:t>
            </w:r>
          </w:p>
        </w:tc>
      </w:tr>
      <w:tr>
        <w:trPr>
          <w:trHeight w:val="235"/>
        </w:trPr>
        <w:tc>
          <w:tcPr>
            <w:tcW w:w="6120" w:type="dxa"/>
            <w:vAlign w:val="bottom"/>
          </w:tcPr>
          <w:p>
            <w:pPr>
              <w:ind w:left="20"/>
              <w:spacing w:after="0"/>
              <w:rPr>
                <w:sz w:val="20"/>
                <w:szCs w:val="20"/>
                <w:color w:val="auto"/>
              </w:rPr>
            </w:pPr>
            <w:r>
              <w:rPr>
                <w:rFonts w:ascii="Arial" w:cs="Arial" w:eastAsia="Arial" w:hAnsi="Arial"/>
                <w:sz w:val="16"/>
                <w:szCs w:val="16"/>
                <w:color w:val="auto"/>
              </w:rPr>
              <w:t>Nuclear fuel</w:t>
            </w:r>
          </w:p>
        </w:tc>
        <w:tc>
          <w:tcPr>
            <w:tcW w:w="460" w:type="dxa"/>
            <w:vAlign w:val="bottom"/>
          </w:tcPr>
          <w:p>
            <w:pPr>
              <w:spacing w:after="0"/>
              <w:rPr>
                <w:sz w:val="20"/>
                <w:szCs w:val="20"/>
                <w:color w:val="auto"/>
              </w:rPr>
            </w:pPr>
          </w:p>
        </w:tc>
        <w:tc>
          <w:tcPr>
            <w:tcW w:w="2040" w:type="dxa"/>
            <w:vAlign w:val="bottom"/>
          </w:tcPr>
          <w:p>
            <w:pPr>
              <w:jc w:val="right"/>
              <w:ind w:right="2"/>
              <w:spacing w:after="0"/>
              <w:rPr>
                <w:sz w:val="20"/>
                <w:szCs w:val="20"/>
                <w:color w:val="auto"/>
              </w:rPr>
            </w:pPr>
            <w:r>
              <w:rPr>
                <w:rFonts w:ascii="Arial" w:cs="Arial" w:eastAsia="Arial" w:hAnsi="Arial"/>
                <w:sz w:val="16"/>
                <w:szCs w:val="16"/>
                <w:color w:val="auto"/>
              </w:rPr>
              <w:t>6,712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jc w:val="right"/>
              <w:ind w:right="2"/>
              <w:spacing w:after="0"/>
              <w:rPr>
                <w:sz w:val="20"/>
                <w:szCs w:val="20"/>
                <w:color w:val="auto"/>
              </w:rPr>
            </w:pPr>
            <w:r>
              <w:rPr>
                <w:rFonts w:ascii="Arial" w:cs="Arial" w:eastAsia="Arial" w:hAnsi="Arial"/>
                <w:sz w:val="16"/>
                <w:szCs w:val="16"/>
                <w:color w:val="auto"/>
              </w:rPr>
              <w:t>6,298</w:t>
            </w:r>
          </w:p>
        </w:tc>
      </w:tr>
      <w:tr>
        <w:trPr>
          <w:trHeight w:val="251"/>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CWIP</w:t>
            </w:r>
            <w:r>
              <w:rPr>
                <w:rFonts w:ascii="Arial" w:cs="Arial" w:eastAsia="Arial" w:hAnsi="Arial"/>
                <w:sz w:val="21"/>
                <w:szCs w:val="21"/>
                <w:color w:val="auto"/>
                <w:vertAlign w:val="superscript"/>
              </w:rPr>
              <w:t>(a)</w:t>
            </w:r>
          </w:p>
        </w:tc>
        <w:tc>
          <w:tcPr>
            <w:tcW w:w="46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3,737</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1,995</w:t>
            </w:r>
          </w:p>
        </w:tc>
      </w:tr>
      <w:tr>
        <w:trPr>
          <w:trHeight w:val="229"/>
        </w:trPr>
        <w:tc>
          <w:tcPr>
            <w:tcW w:w="6120" w:type="dxa"/>
            <w:vAlign w:val="bottom"/>
          </w:tcPr>
          <w:p>
            <w:pPr>
              <w:ind w:left="20"/>
              <w:spacing w:after="0"/>
              <w:rPr>
                <w:sz w:val="20"/>
                <w:szCs w:val="20"/>
                <w:color w:val="auto"/>
              </w:rPr>
            </w:pPr>
            <w:r>
              <w:rPr>
                <w:rFonts w:ascii="Arial" w:cs="Arial" w:eastAsia="Arial" w:hAnsi="Arial"/>
                <w:sz w:val="16"/>
                <w:szCs w:val="16"/>
                <w:color w:val="auto"/>
              </w:rPr>
              <w:t>Total property, plant, and equipment</w:t>
            </w:r>
          </w:p>
        </w:tc>
        <w:tc>
          <w:tcPr>
            <w:tcW w:w="460" w:type="dxa"/>
            <w:vAlign w:val="bottom"/>
          </w:tcPr>
          <w:p>
            <w:pPr>
              <w:spacing w:after="0"/>
              <w:rPr>
                <w:sz w:val="19"/>
                <w:szCs w:val="19"/>
                <w:color w:val="auto"/>
              </w:rPr>
            </w:pPr>
          </w:p>
        </w:tc>
        <w:tc>
          <w:tcPr>
            <w:tcW w:w="2040" w:type="dxa"/>
            <w:vAlign w:val="bottom"/>
          </w:tcPr>
          <w:p>
            <w:pPr>
              <w:jc w:val="right"/>
              <w:ind w:right="2"/>
              <w:spacing w:after="0"/>
              <w:rPr>
                <w:sz w:val="20"/>
                <w:szCs w:val="20"/>
                <w:color w:val="auto"/>
              </w:rPr>
            </w:pPr>
            <w:r>
              <w:rPr>
                <w:rFonts w:ascii="Arial" w:cs="Arial" w:eastAsia="Arial" w:hAnsi="Arial"/>
                <w:sz w:val="16"/>
                <w:szCs w:val="16"/>
                <w:color w:val="auto"/>
              </w:rPr>
              <w:t>60,293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jc w:val="right"/>
              <w:ind w:right="2"/>
              <w:spacing w:after="0"/>
              <w:rPr>
                <w:sz w:val="20"/>
                <w:szCs w:val="20"/>
                <w:color w:val="auto"/>
              </w:rPr>
            </w:pPr>
            <w:r>
              <w:rPr>
                <w:rFonts w:ascii="Arial" w:cs="Arial" w:eastAsia="Arial" w:hAnsi="Arial"/>
                <w:sz w:val="16"/>
                <w:szCs w:val="16"/>
                <w:color w:val="auto"/>
              </w:rPr>
              <w:t>41,546</w:t>
            </w:r>
          </w:p>
        </w:tc>
      </w:tr>
      <w:tr>
        <w:trPr>
          <w:trHeight w:val="244"/>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46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19,524</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19,072</w:t>
            </w:r>
          </w:p>
        </w:tc>
      </w:tr>
      <w:tr>
        <w:trPr>
          <w:trHeight w:val="243"/>
        </w:trPr>
        <w:tc>
          <w:tcPr>
            <w:tcW w:w="61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r>
              <w:rPr>
                <w:rFonts w:ascii="Arial" w:cs="Arial" w:eastAsia="Arial" w:hAnsi="Arial"/>
                <w:sz w:val="21"/>
                <w:szCs w:val="21"/>
                <w:color w:val="auto"/>
                <w:vertAlign w:val="superscript"/>
              </w:rPr>
              <w:t>(b)</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40,769</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22,474</w:t>
            </w:r>
          </w:p>
        </w:tc>
      </w:tr>
      <w:tr>
        <w:trPr>
          <w:trHeight w:val="21"/>
        </w:trPr>
        <w:tc>
          <w:tcPr>
            <w:tcW w:w="6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Electric and CWIP assets acquired as a result of the Calpine acquisition of $17,247 million and $1,234 million, respectively.</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assets held for sale related to acquisition of Calpine. See Note 2 — Mergers, Acquisitions, and Dispositions for additional information.</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estimated useful lives of our generating facilities are based on a combination of depreciation studies, historical retirements, site licenses and management estimates of operating costs and expected energy market conditions. As a result of the acquisition of Calpine, we added a fleet of natural gas, oil, geothermal, battery storage and solar assets. There were no material changes in the estimated useful lives of our combined oil and gas, battery storage, wind and solar facilities as a result. Geothermal facility depreciation provisions are based on an estimated useful life through 2066. For additional information about the useful lives of our generating facilities and depreciation provisions see Note 8 — Property, Plant, and Equipment of our 2025 Form 10-K.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9 — Asset Retirement Obligations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Asset Retirement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Asset Retirement Obligations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have a legal obligation to decommission our nuclear power plants following the permanent cessation of operations. See Note 10 — Asset Retirement Obligations of our 2025 Form 10-K for additional information regarding AROs and the financial statement impact of changes in estimates.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rollforward of the nuclear decommissioning AROs reflected in the Consolidated Balance Sheets from December 31, 2025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12,908</w:t>
            </w:r>
          </w:p>
        </w:tc>
      </w:tr>
      <w:tr>
        <w:trPr>
          <w:trHeight w:val="235"/>
        </w:trPr>
        <w:tc>
          <w:tcPr>
            <w:tcW w:w="8720" w:type="dxa"/>
            <w:vAlign w:val="bottom"/>
          </w:tcPr>
          <w:p>
            <w:pPr>
              <w:ind w:left="20"/>
              <w:spacing w:after="0"/>
              <w:rPr>
                <w:sz w:val="20"/>
                <w:szCs w:val="20"/>
                <w:color w:val="auto"/>
              </w:rPr>
            </w:pPr>
            <w:r>
              <w:rPr>
                <w:rFonts w:ascii="Arial" w:cs="Arial" w:eastAsia="Arial" w:hAnsi="Arial"/>
                <w:sz w:val="16"/>
                <w:szCs w:val="16"/>
                <w:color w:val="auto"/>
              </w:rPr>
              <w:t>Accretion expense</w:t>
            </w:r>
          </w:p>
        </w:tc>
        <w:tc>
          <w:tcPr>
            <w:tcW w:w="10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5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due to changes in, and timing of, estimated future cash flows</w:t>
            </w:r>
          </w:p>
        </w:tc>
        <w:tc>
          <w:tcPr>
            <w:tcW w:w="10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w:t>
            </w:r>
          </w:p>
        </w:tc>
      </w:tr>
      <w:tr>
        <w:trPr>
          <w:trHeight w:val="236"/>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Costs incurred related to decommissioning plants</w:t>
            </w:r>
          </w:p>
        </w:tc>
        <w:tc>
          <w:tcPr>
            <w:tcW w:w="10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62"/>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2026</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During the three months ended March 31, 2026, the net $1,277 million decrease in the ARO for the changes in, and timing of, estimated future cash flows was driven primarily by </w:t>
      </w:r>
      <w:r>
        <w:rPr>
          <w:rFonts w:ascii="Times New Roman" w:cs="Times New Roman" w:eastAsia="Times New Roman" w:hAnsi="Times New Roman"/>
          <w:sz w:val="21"/>
          <w:szCs w:val="21"/>
          <w:color w:val="auto"/>
        </w:rPr>
        <w:t>c</w:t>
      </w:r>
      <w:r>
        <w:rPr>
          <w:rFonts w:ascii="Arial" w:cs="Arial" w:eastAsia="Arial" w:hAnsi="Arial"/>
          <w:sz w:val="16"/>
          <w:szCs w:val="16"/>
          <w:color w:val="auto"/>
        </w:rPr>
        <w:t>hanges in assumed retirement dates for various plants, including Calvert Cliffs, Fitzpatrick, Limerick, and Nine Mile Point.</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2026 ARO update resulted in a decrease of $285 million in Operating and maintenance expense for the three months ended March 31, 2026 in the Consolidated Statements of Operations and Comprehensive income.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NDT Funds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had NDT funds totaling $19,494 million and $19,396 million as of March 31, 2026 and December 31, 2025, respectively. The current portions of the NDT funds, which are included in Other current assets in our Consolidated Balance Sheets, were not material as of March 31, 2026 and December 31, 2025. See Note 18 — Supplemental Financial Information for additional information on activities of the NDT funds.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Implications of the Regulatory Agreement Units</w:t>
      </w:r>
    </w:p>
    <w:p>
      <w:pPr>
        <w:spacing w:after="0" w:line="18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See Note 1 — Basis of Presentation and Note 10 — Asset Retirement Obligations of our 2025 Form 10-K for additional information on the Regulatory Agreement Units.</w:t>
      </w:r>
    </w:p>
    <w:p>
      <w:pPr>
        <w:spacing w:after="0" w:line="8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 presents our noncurrent payables to ComEd, PECO, CenterPoint, and AEP Texas reflected as Payables related to Regulatory Agreement Units in the Consolidated Balance Sheets as of March 31, 2026 and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spacing w:after="0"/>
              <w:rPr>
                <w:sz w:val="14"/>
                <w:szCs w:val="14"/>
                <w:color w:val="auto"/>
              </w:rPr>
            </w:pPr>
          </w:p>
        </w:tc>
        <w:tc>
          <w:tcPr>
            <w:tcW w:w="1860" w:type="dxa"/>
            <w:vAlign w:val="bottom"/>
          </w:tcPr>
          <w:p>
            <w:pPr>
              <w:jc w:val="right"/>
              <w:ind w:right="85"/>
              <w:spacing w:after="0"/>
              <w:rPr>
                <w:sz w:val="20"/>
                <w:szCs w:val="20"/>
                <w:color w:val="auto"/>
              </w:rPr>
            </w:pPr>
            <w:r>
              <w:rPr>
                <w:rFonts w:ascii="Arial" w:cs="Arial" w:eastAsia="Arial" w:hAnsi="Arial"/>
                <w:sz w:val="13"/>
                <w:szCs w:val="13"/>
                <w:b w:val="1"/>
                <w:bCs w:val="1"/>
                <w:color w:val="auto"/>
              </w:rPr>
              <w:t>March 31, 2026</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jc w:val="right"/>
              <w:ind w:right="602"/>
              <w:spacing w:after="0"/>
              <w:rPr>
                <w:sz w:val="20"/>
                <w:szCs w:val="20"/>
                <w:color w:val="auto"/>
              </w:rPr>
            </w:pPr>
            <w:r>
              <w:rPr>
                <w:rFonts w:ascii="Arial" w:cs="Arial" w:eastAsia="Arial" w:hAnsi="Arial"/>
                <w:sz w:val="13"/>
                <w:szCs w:val="13"/>
                <w:b w:val="1"/>
                <w:bCs w:val="1"/>
                <w:color w:val="auto"/>
              </w:rPr>
              <w:t>December 31, 2025</w:t>
            </w:r>
          </w:p>
        </w:tc>
      </w:tr>
      <w:tr>
        <w:trPr>
          <w:trHeight w:val="22"/>
        </w:trPr>
        <w:tc>
          <w:tcPr>
            <w:tcW w:w="6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3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ComEd</w:t>
            </w:r>
          </w:p>
        </w:tc>
        <w:tc>
          <w:tcPr>
            <w:tcW w:w="1860" w:type="dxa"/>
            <w:vAlign w:val="bottom"/>
            <w:shd w:val="clear" w:color="auto" w:fill="CCEEFF"/>
          </w:tcPr>
          <w:p>
            <w:pPr>
              <w:jc w:val="right"/>
              <w:ind w:right="1665"/>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4,313</w:t>
            </w:r>
          </w:p>
        </w:tc>
      </w:tr>
      <w:tr>
        <w:trPr>
          <w:trHeight w:val="235"/>
        </w:trPr>
        <w:tc>
          <w:tcPr>
            <w:tcW w:w="6120" w:type="dxa"/>
            <w:vAlign w:val="bottom"/>
          </w:tcPr>
          <w:p>
            <w:pPr>
              <w:ind w:left="20"/>
              <w:spacing w:after="0"/>
              <w:rPr>
                <w:sz w:val="20"/>
                <w:szCs w:val="20"/>
                <w:color w:val="auto"/>
              </w:rPr>
            </w:pPr>
            <w:r>
              <w:rPr>
                <w:rFonts w:ascii="Arial" w:cs="Arial" w:eastAsia="Arial" w:hAnsi="Arial"/>
                <w:sz w:val="16"/>
                <w:szCs w:val="16"/>
                <w:color w:val="auto"/>
              </w:rPr>
              <w:t>PECO</w:t>
            </w:r>
          </w:p>
        </w:tc>
        <w:tc>
          <w:tcPr>
            <w:tcW w:w="18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jc w:val="right"/>
              <w:ind w:right="2"/>
              <w:spacing w:after="0"/>
              <w:rPr>
                <w:sz w:val="20"/>
                <w:szCs w:val="20"/>
                <w:color w:val="auto"/>
              </w:rPr>
            </w:pPr>
            <w:r>
              <w:rPr>
                <w:rFonts w:ascii="Arial" w:cs="Arial" w:eastAsia="Arial" w:hAnsi="Arial"/>
                <w:sz w:val="16"/>
                <w:szCs w:val="16"/>
                <w:color w:val="auto"/>
              </w:rPr>
              <w:t>442</w:t>
            </w:r>
          </w:p>
        </w:tc>
      </w:tr>
      <w:tr>
        <w:trPr>
          <w:trHeight w:val="251"/>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CenterPoint</w:t>
            </w:r>
          </w:p>
        </w:tc>
        <w:tc>
          <w:tcPr>
            <w:tcW w:w="18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430</w:t>
            </w:r>
          </w:p>
        </w:tc>
      </w:tr>
      <w:tr>
        <w:trPr>
          <w:trHeight w:val="23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AEP Texas</w:t>
            </w:r>
          </w:p>
        </w:tc>
        <w:tc>
          <w:tcPr>
            <w:tcW w:w="1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149</w:t>
            </w:r>
          </w:p>
        </w:tc>
      </w:tr>
      <w:tr>
        <w:trPr>
          <w:trHeight w:val="261"/>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Payables related to Regulatory Agreement Units</w:t>
            </w:r>
          </w:p>
        </w:tc>
        <w:tc>
          <w:tcPr>
            <w:tcW w:w="1860" w:type="dxa"/>
            <w:vAlign w:val="bottom"/>
            <w:tcBorders>
              <w:bottom w:val="single" w:sz="8" w:color="auto"/>
            </w:tcBorders>
            <w:shd w:val="clear" w:color="auto" w:fill="CCEEFF"/>
          </w:tcPr>
          <w:p>
            <w:pPr>
              <w:jc w:val="right"/>
              <w:ind w:right="1665"/>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5,334</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NRC Minimum Funding Requirements</w:t>
      </w:r>
    </w:p>
    <w:p>
      <w:pPr>
        <w:spacing w:after="0" w:line="16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NRC regulations require that licensees of nuclear generating facilities demonstrate reasonable assurance that funds will be available in specified minimum amounts for radiological decommissioning of the facility at the end of its life.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We filed our annual decommissioning funding status report with the NRC for our shutdown units, and any units within five years of shutdown in March 2026.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status report demonstrated adequate decommissioning funding assurance as of December 31, 2025 for all units included in the report. See Note 10 —</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Asset Retirement Obligations of our 2025 Form 10-K for additional information.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Note 9 — Asset Retirement Obligations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Non-Nuclear Asset Retirement Obligations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AROs for plant closure costs associated with our natural gas, oil, battery storage, and renewable generating facilities. The obligations include asbestos abatement, removal of certain storage tanks, restoring leased land to the condition it was in prior to construction of renewable generating stations, disposal of hazardous materials, plug and abandonment of wells, and other decommissioning-related activities. See Note 1 — Basis of Presentation of our 2025 Form 10-K for additional information on the accounting policy for AROs.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following table provides a rollforward of the non-nuclear AROs reflected in the Consolidated Balance Sheets from December 31, 2025 to March 31, 2026:</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43"/>
        </w:trPr>
        <w:tc>
          <w:tcPr>
            <w:tcW w:w="8720" w:type="dxa"/>
            <w:vAlign w:val="bottom"/>
          </w:tcPr>
          <w:p>
            <w:pPr>
              <w:ind w:left="20"/>
              <w:spacing w:after="0"/>
              <w:rPr>
                <w:sz w:val="20"/>
                <w:szCs w:val="20"/>
                <w:color w:val="auto"/>
              </w:rPr>
            </w:pPr>
            <w:r>
              <w:rPr>
                <w:rFonts w:ascii="Arial" w:cs="Arial" w:eastAsia="Arial" w:hAnsi="Arial"/>
                <w:sz w:val="16"/>
                <w:szCs w:val="16"/>
                <w:color w:val="auto"/>
              </w:rPr>
              <w:t>Acquisition of Calpine</w:t>
            </w:r>
            <w:r>
              <w:rPr>
                <w:rFonts w:ascii="Arial" w:cs="Arial" w:eastAsia="Arial" w:hAnsi="Arial"/>
                <w:sz w:val="21"/>
                <w:szCs w:val="21"/>
                <w:color w:val="auto"/>
                <w:vertAlign w:val="superscript"/>
              </w:rPr>
              <w:t>(a)</w:t>
            </w:r>
          </w:p>
        </w:tc>
        <w:tc>
          <w:tcPr>
            <w:tcW w:w="1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expense</w:t>
            </w:r>
          </w:p>
        </w:tc>
        <w:tc>
          <w:tcPr>
            <w:tcW w:w="1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42"/>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Costs incurred related to decommissioning plants</w:t>
            </w:r>
          </w:p>
        </w:tc>
        <w:tc>
          <w:tcPr>
            <w:tcW w:w="1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56"/>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2026</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jc w:val="both"/>
        <w:ind w:left="340" w:hanging="332"/>
        <w:spacing w:after="0" w:line="272"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our decommissioning obligations for Calpine plants acquired on January 7, 2026, which are recorded at estimated fair value. See Note 2 — Mergers, Acquisitions, and Dispositions for additional information. Many of the facilities acquired from Calpine do not have AROs given the absence of legal requirements to perform retirement related activities.</w:t>
      </w:r>
    </w:p>
    <w:p>
      <w:pPr>
        <w:spacing w:after="0" w:line="122" w:lineRule="exact"/>
        <w:rPr>
          <w:sz w:val="20"/>
          <w:szCs w:val="20"/>
          <w:color w:val="auto"/>
        </w:rPr>
      </w:pPr>
    </w:p>
    <w:p>
      <w:pPr>
        <w:ind w:right="9720" w:firstLine="8"/>
        <w:spacing w:after="0" w:line="457" w:lineRule="auto"/>
        <w:tabs>
          <w:tab w:leader="none" w:pos="27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 Rate Reconciliation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income tax rate varies from the U.S. federal statutory rate principally due to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w w:val="99"/>
              </w:rPr>
              <w:t>Three Months Ended March 31,</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
        </w:trPr>
        <w:tc>
          <w:tcPr>
            <w:tcW w:w="616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4"/>
        </w:trPr>
        <w:tc>
          <w:tcPr>
            <w:tcW w:w="61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2026</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2"/>
        </w:trPr>
        <w:tc>
          <w:tcPr>
            <w:tcW w:w="6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 statutory income tax</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5"/>
        </w:trPr>
        <w:tc>
          <w:tcPr>
            <w:tcW w:w="6160" w:type="dxa"/>
            <w:vAlign w:val="bottom"/>
          </w:tcPr>
          <w:p>
            <w:pPr>
              <w:ind w:left="20"/>
              <w:spacing w:after="0"/>
              <w:rPr>
                <w:sz w:val="20"/>
                <w:szCs w:val="20"/>
                <w:color w:val="auto"/>
              </w:rPr>
            </w:pPr>
            <w:r>
              <w:rPr>
                <w:rFonts w:ascii="Arial" w:cs="Arial" w:eastAsia="Arial" w:hAnsi="Arial"/>
                <w:sz w:val="16"/>
                <w:szCs w:val="16"/>
                <w:color w:val="auto"/>
              </w:rPr>
              <w:t>Increase (decrease) due to:</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1"/>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income taxes, net of federal income tax benefit</w:t>
            </w:r>
            <w:r>
              <w:rPr>
                <w:rFonts w:ascii="Arial" w:cs="Arial" w:eastAsia="Arial" w:hAnsi="Arial"/>
                <w:sz w:val="21"/>
                <w:szCs w:val="21"/>
                <w:color w:val="auto"/>
                <w:vertAlign w:val="superscript"/>
              </w:rPr>
              <w:t>(a)</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6160" w:type="dxa"/>
            <w:vAlign w:val="bottom"/>
          </w:tcPr>
          <w:p>
            <w:pPr>
              <w:ind w:left="140"/>
              <w:spacing w:after="0"/>
              <w:rPr>
                <w:sz w:val="20"/>
                <w:szCs w:val="20"/>
                <w:color w:val="auto"/>
              </w:rPr>
            </w:pPr>
            <w:r>
              <w:rPr>
                <w:rFonts w:ascii="Arial" w:cs="Arial" w:eastAsia="Arial" w:hAnsi="Arial"/>
                <w:sz w:val="16"/>
                <w:szCs w:val="16"/>
                <w:color w:val="auto"/>
              </w:rPr>
              <w:t>Foreign tax effects</w:t>
            </w:r>
          </w:p>
        </w:tc>
        <w:tc>
          <w:tcPr>
            <w:tcW w:w="13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credits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35"/>
        </w:trPr>
        <w:tc>
          <w:tcPr>
            <w:tcW w:w="6160" w:type="dxa"/>
            <w:vAlign w:val="bottom"/>
          </w:tcPr>
          <w:p>
            <w:pPr>
              <w:ind w:left="360"/>
              <w:spacing w:after="0"/>
              <w:rPr>
                <w:sz w:val="20"/>
                <w:szCs w:val="20"/>
                <w:color w:val="auto"/>
              </w:rPr>
            </w:pPr>
            <w:r>
              <w:rPr>
                <w:rFonts w:ascii="Arial" w:cs="Arial" w:eastAsia="Arial" w:hAnsi="Arial"/>
                <w:sz w:val="16"/>
                <w:szCs w:val="16"/>
                <w:color w:val="auto"/>
              </w:rPr>
              <w:t>PTC</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60" w:type="dxa"/>
            <w:vAlign w:val="bottom"/>
          </w:tcPr>
          <w:p>
            <w:pPr>
              <w:jc w:val="right"/>
              <w:ind w:right="10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1"/>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ITC, including deferred taxes on basis differences</w:t>
            </w: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6160" w:type="dxa"/>
            <w:vAlign w:val="bottom"/>
          </w:tcPr>
          <w:p>
            <w:pPr>
              <w:ind w:left="360"/>
              <w:spacing w:after="0"/>
              <w:rPr>
                <w:sz w:val="20"/>
                <w:szCs w:val="20"/>
                <w:color w:val="auto"/>
              </w:rPr>
            </w:pPr>
            <w:r>
              <w:rPr>
                <w:rFonts w:ascii="Arial" w:cs="Arial" w:eastAsia="Arial" w:hAnsi="Arial"/>
                <w:sz w:val="16"/>
                <w:szCs w:val="16"/>
                <w:color w:val="auto"/>
              </w:rPr>
              <w:t>Other</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60" w:type="dxa"/>
            <w:vAlign w:val="bottom"/>
          </w:tcPr>
          <w:p>
            <w:pPr>
              <w:jc w:val="right"/>
              <w:ind w:right="10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Nontaxable or nondeductible items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35"/>
        </w:trPr>
        <w:tc>
          <w:tcPr>
            <w:tcW w:w="6160" w:type="dxa"/>
            <w:vAlign w:val="bottom"/>
          </w:tcPr>
          <w:p>
            <w:pPr>
              <w:ind w:left="360"/>
              <w:spacing w:after="0"/>
              <w:rPr>
                <w:sz w:val="20"/>
                <w:szCs w:val="20"/>
                <w:color w:val="auto"/>
              </w:rPr>
            </w:pPr>
            <w:r>
              <w:rPr>
                <w:rFonts w:ascii="Arial" w:cs="Arial" w:eastAsia="Arial" w:hAnsi="Arial"/>
                <w:sz w:val="16"/>
                <w:szCs w:val="16"/>
                <w:color w:val="auto"/>
              </w:rPr>
              <w:t>Share-based payment awards</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60" w:type="dxa"/>
            <w:vAlign w:val="bottom"/>
          </w:tcPr>
          <w:p>
            <w:pPr>
              <w:jc w:val="right"/>
              <w:ind w:right="101"/>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1"/>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Excess officers compensation</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5"/>
        </w:trPr>
        <w:tc>
          <w:tcPr>
            <w:tcW w:w="6160" w:type="dxa"/>
            <w:vAlign w:val="bottom"/>
          </w:tcPr>
          <w:p>
            <w:pPr>
              <w:ind w:left="360"/>
              <w:spacing w:after="0"/>
              <w:rPr>
                <w:sz w:val="20"/>
                <w:szCs w:val="20"/>
                <w:color w:val="auto"/>
              </w:rPr>
            </w:pPr>
            <w:r>
              <w:rPr>
                <w:rFonts w:ascii="Arial" w:cs="Arial" w:eastAsia="Arial" w:hAnsi="Arial"/>
                <w:sz w:val="16"/>
                <w:szCs w:val="16"/>
                <w:color w:val="auto"/>
              </w:rPr>
              <w:t>Other</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adjustments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36"/>
        </w:trPr>
        <w:tc>
          <w:tcPr>
            <w:tcW w:w="6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Qualified NDT fund income and losses</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6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income tax</w:t>
            </w:r>
            <w:r>
              <w:rPr>
                <w:rFonts w:ascii="Arial" w:cs="Arial" w:eastAsia="Arial" w:hAnsi="Arial"/>
                <w:sz w:val="21"/>
                <w:szCs w:val="21"/>
                <w:color w:val="auto"/>
                <w:vertAlign w:val="superscript"/>
              </w:rPr>
              <w:t>(b)</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24.9 %</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hanging="332"/>
        <w:spacing w:after="0" w:line="262"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2026, state taxes in California, Massachusetts, and New York made up the majority (greater than 50%) of the tax effect in this category. In 2025, state taxes in Illinois, Maryland, Massachusetts, California, Pennsylvania, and New Jersey made up the majority (greater than 50%) of the tax effect in this category.</w:t>
      </w: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may not recalculate due to rounding.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10 — Income Taxes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Tax Matters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Matters Agreement</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separation, we entered into a TMA with Exelon. The TMA governs the respective rights, responsibilities, and obligations between us and Exelon after the separation with respect to tax liabilities and benefits, tax attributes, tax returns, tax contests and other tax sharing regarding U.S. federal, state, local and foreign income taxes, other tax matters and related tax returns.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Responsibility and Indemnification for Taxes. </w:t>
      </w:r>
      <w:r>
        <w:rPr>
          <w:rFonts w:ascii="Arial" w:cs="Arial" w:eastAsia="Arial" w:hAnsi="Arial"/>
          <w:sz w:val="16"/>
          <w:szCs w:val="16"/>
          <w:color w:val="auto"/>
        </w:rPr>
        <w:t>As a former subsidiary of Exelon, we have joint and several liability with Exelon to the IRS and certain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jurisdictions relating to the taxable periods in which we were included in joint federal and state filings. However, the TMA specifies the portion of this tax liability for which we will bear contractual responsibility, and we and Exelon agreed to indemnify each other against any amounts for which such indemnified party is not responsible. Specifically, we will be liable for taxes due and payable in connection with tax returns that we are required to file. We will also be liable for our share of certain taxes required to be paid by Exelon with respect to taxable years or periods (or portions thereof) ending on or prior to the separation to the extent that we would have been responsible for such taxes under the Exelon tax sharing agreement then existing. As of March 31, 2026 and December 31, 2025, respectively, our Consolidated Balance Sheets reflect $32 million and $43 million in Other deferred credits and other liabilities, for tax liabilities where we maintain contractual responsibility to Exelon.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Tax Refunds and Attributes. </w:t>
      </w:r>
      <w:r>
        <w:rPr>
          <w:rFonts w:ascii="Arial" w:cs="Arial" w:eastAsia="Arial" w:hAnsi="Arial"/>
          <w:sz w:val="16"/>
          <w:szCs w:val="16"/>
          <w:color w:val="auto"/>
        </w:rPr>
        <w:t>The TMA provides for the allocation of certain pre-closing tax attributes between us and Exelon. Tax attributes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allocated in accordance with the principles set forth in the existing Exelon tax sharing agreement, unless otherwise required by law. Under the TMA, we will be entitled to refunds for taxes for which we are responsible. In addition, it is expected that Exelon will have tax attributes that may be used to offset Exelon’s future tax liabilities. A significant portion of such attributes were generated by our business. In February 2024, we executed an amendment to the TMA that modified the timing of Exelon's payment of amounts due to us. In March 2026, we adjusted our receivable under the TMA as a result of IRS Notice 2026-7, as discussed below. As of March 31, 2026 and December 31, 2025, respectively, we had $58 million and $175 million in Accounts receivable, net and $373 million and $21 million in Other deferred debits and other assets for the reclassified tax attributes expected to be utilized by Exelon after separation in accordance with the terms of the TMA.</w:t>
      </w:r>
    </w:p>
    <w:p>
      <w:pPr>
        <w:spacing w:after="0" w:line="90"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b w:val="1"/>
          <w:bCs w:val="1"/>
          <w:i w:val="1"/>
          <w:iCs w:val="1"/>
          <w:color w:val="auto"/>
        </w:rPr>
        <w:t xml:space="preserve">IRS Notice 2026-7. </w:t>
      </w:r>
      <w:r>
        <w:rPr>
          <w:rFonts w:ascii="Arial" w:cs="Arial" w:eastAsia="Arial" w:hAnsi="Arial"/>
          <w:sz w:val="16"/>
          <w:szCs w:val="16"/>
          <w:color w:val="auto"/>
        </w:rPr>
        <w:t>In February 2026, the IRS issued Notice 2026</w:t>
      </w:r>
      <w:r>
        <w:rPr>
          <w:rFonts w:ascii="MS PGothic" w:cs="MS PGothic" w:eastAsia="MS PGothic" w:hAnsi="MS PGothic"/>
          <w:sz w:val="16"/>
          <w:szCs w:val="16"/>
          <w:color w:val="auto"/>
        </w:rPr>
        <w:t>‑</w:t>
      </w:r>
      <w:r>
        <w:rPr>
          <w:rFonts w:ascii="Arial" w:cs="Arial" w:eastAsia="Arial" w:hAnsi="Arial"/>
          <w:sz w:val="16"/>
          <w:szCs w:val="16"/>
          <w:color w:val="auto"/>
        </w:rPr>
        <w:t>7 (the “Notice”), which provides guidance on the implementation of the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alternative minimum tax (CAMT). The Notice permits taxpayers to deduct repair and maintenance costs under tax law principles in determining adjusted financial statement income and applies retroactively to previously filed tax returns. As a result of this Notice, Exelon amended its 2023 and 2024 tax returns to reflect less CAMT and thus lower utilization of previously refunded tax attributes.</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received a demand letter from Exelon in February 2026, and as a result, in March 2026 we remitted $235 million to Exelon under the TMA related to prior periods. We increased our receivable for the $235 million in the first quarter of 2026, as reflected above, as we expect Exelon to pay us as it utilizes these tax attributes in future periods.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11 — Retirement Benefits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Retirement Benefits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Net Periodic Benefit (Credits) Costs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See Note 1 — Basis of Presentation of our 2025 Form 10-K for additional information on where we report the service cost and other non-service cost (credit) components for all plans.</w:t>
      </w:r>
    </w:p>
    <w:p>
      <w:pPr>
        <w:spacing w:after="0" w:line="1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tables present the components of our net periodic benefit (credit) cost for the three months ended March 31, 2026 and 2025. The amounts below are shown prior to capitalization and co-owner allocations, the effects of which were not material for any of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320"/>
              <w:spacing w:after="0"/>
              <w:rPr>
                <w:sz w:val="20"/>
                <w:szCs w:val="20"/>
                <w:color w:val="auto"/>
              </w:rPr>
            </w:pPr>
            <w:r>
              <w:rPr>
                <w:rFonts w:ascii="Arial" w:cs="Arial" w:eastAsia="Arial" w:hAnsi="Arial"/>
                <w:sz w:val="13"/>
                <w:szCs w:val="13"/>
                <w:b w:val="1"/>
                <w:bCs w:val="1"/>
                <w:color w:val="auto"/>
              </w:rPr>
              <w:t>Pension Benefits</w:t>
            </w:r>
          </w:p>
        </w:tc>
        <w:tc>
          <w:tcPr>
            <w:tcW w:w="220" w:type="dxa"/>
            <w:vAlign w:val="bottom"/>
          </w:tcPr>
          <w:p>
            <w:pPr>
              <w:spacing w:after="0"/>
              <w:rPr>
                <w:sz w:val="14"/>
                <w:szCs w:val="14"/>
                <w:color w:val="auto"/>
              </w:rPr>
            </w:pPr>
          </w:p>
        </w:tc>
        <w:tc>
          <w:tcPr>
            <w:tcW w:w="1580" w:type="dxa"/>
            <w:vAlign w:val="bottom"/>
            <w:gridSpan w:val="3"/>
          </w:tcPr>
          <w:p>
            <w:pPr>
              <w:jc w:val="right"/>
              <w:ind w:right="505"/>
              <w:spacing w:after="0"/>
              <w:rPr>
                <w:sz w:val="20"/>
                <w:szCs w:val="20"/>
                <w:color w:val="auto"/>
              </w:rPr>
            </w:pPr>
            <w:r>
              <w:rPr>
                <w:rFonts w:ascii="Arial" w:cs="Arial" w:eastAsia="Arial" w:hAnsi="Arial"/>
                <w:sz w:val="13"/>
                <w:szCs w:val="13"/>
                <w:b w:val="1"/>
                <w:bCs w:val="1"/>
                <w:color w:val="auto"/>
              </w:rPr>
              <w:t>OPEB</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right"/>
              <w:spacing w:after="0"/>
              <w:rPr>
                <w:sz w:val="20"/>
                <w:szCs w:val="20"/>
                <w:color w:val="auto"/>
              </w:rPr>
            </w:pPr>
            <w:r>
              <w:rPr>
                <w:rFonts w:ascii="Arial" w:cs="Arial" w:eastAsia="Arial" w:hAnsi="Arial"/>
                <w:sz w:val="13"/>
                <w:szCs w:val="13"/>
                <w:b w:val="1"/>
                <w:bCs w:val="1"/>
                <w:color w:val="auto"/>
                <w:w w:val="98"/>
              </w:rPr>
              <w:t>Total Pension Benefits and OPEB</w:t>
            </w:r>
          </w:p>
        </w:tc>
        <w:tc>
          <w:tcPr>
            <w:tcW w:w="0" w:type="dxa"/>
            <w:vAlign w:val="bottom"/>
          </w:tcPr>
          <w:p>
            <w:pPr>
              <w:spacing w:after="0"/>
              <w:rPr>
                <w:sz w:val="1"/>
                <w:szCs w:val="1"/>
                <w:color w:val="auto"/>
              </w:rPr>
            </w:pPr>
          </w:p>
        </w:tc>
      </w:tr>
      <w:tr>
        <w:trPr>
          <w:trHeight w:val="22"/>
        </w:trPr>
        <w:tc>
          <w:tcPr>
            <w:tcW w:w="4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 March 31,</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4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3"/>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3"/>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2"/>
        </w:trPr>
        <w:tc>
          <w:tcPr>
            <w:tcW w:w="4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Components of net periodic benefit (credit) cost: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660" w:type="dxa"/>
            <w:vAlign w:val="bottom"/>
          </w:tcPr>
          <w:p>
            <w:pPr>
              <w:ind w:left="140"/>
              <w:spacing w:after="0"/>
              <w:rPr>
                <w:sz w:val="20"/>
                <w:szCs w:val="20"/>
                <w:color w:val="auto"/>
              </w:rPr>
            </w:pPr>
            <w:r>
              <w:rPr>
                <w:rFonts w:ascii="Arial" w:cs="Arial" w:eastAsia="Arial" w:hAnsi="Arial"/>
                <w:sz w:val="16"/>
                <w:szCs w:val="16"/>
                <w:color w:val="auto"/>
              </w:rPr>
              <w:t>Service cost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700" w:type="dxa"/>
            <w:vAlign w:val="bottom"/>
          </w:tcPr>
          <w:p>
            <w:pPr>
              <w:jc w:val="right"/>
              <w:ind w:right="525"/>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jc w:val="right"/>
              <w:ind w:right="65"/>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Non-service components of pension benefits &amp; OPEB (credit)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60" w:type="dxa"/>
            <w:vAlign w:val="bottom"/>
          </w:tcPr>
          <w:p>
            <w:pPr>
              <w:ind w:left="36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51"/>
        </w:trPr>
        <w:tc>
          <w:tcPr>
            <w:tcW w:w="4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Expected return on assets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5"/>
        </w:trPr>
        <w:tc>
          <w:tcPr>
            <w:tcW w:w="4660" w:type="dxa"/>
            <w:vAlign w:val="bottom"/>
          </w:tcPr>
          <w:p>
            <w:pPr>
              <w:ind w:left="360"/>
              <w:spacing w:after="0"/>
              <w:rPr>
                <w:sz w:val="20"/>
                <w:szCs w:val="20"/>
                <w:color w:val="auto"/>
              </w:rPr>
            </w:pPr>
            <w:r>
              <w:rPr>
                <w:rFonts w:ascii="Arial" w:cs="Arial" w:eastAsia="Arial" w:hAnsi="Arial"/>
                <w:sz w:val="16"/>
                <w:szCs w:val="16"/>
                <w:color w:val="auto"/>
              </w:rPr>
              <w:t>Amortization of:</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Prior service (credit) cost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Actuarial (gain) loss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Non-service components of pension benefits &amp; OPEB (credit)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(credit) cost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right"/>
              <w:ind w:right="525"/>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Derivative Financial Instruments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use derivative instruments to manage commodity price risk and interest rate risk related to ongoing business operations.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Authoritative guidance requires that derivative instruments be recognized as either assets or liabilities at fair value, with changes in fair value of the derivative recognized in earnings immediately. Other accounting treatments, including NPNS, are available through special election and designation, provided they meet specific, restrictive criteria both at the time of designation and on an ongoing basis. All derivative instruments, excluding NPNS, are recorded at fair value through earnings. For all NPNS derivative instruments, accounts receivable or accounts payable are recorded when derivatives settle, and revenue or expense is recognized in earnings as the underlying physical commodity is delivered.</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Authoritative guidance about offsetting assets and liabilities requires the fair value of derivative instruments to be shown in the Combined Notes to Consolidated Financial Statements on a gross basis, even when the derivative instruments are subject to legally enforceable master netting agreements and qualify for net presentation in the Consolidated Balance Sheets. A master netting agreement is an agreement between two counterparties that may have derivative and non-derivative contracts with each other providing for the net settlement of all referenced contracts via one payment stream, which takes place as the contracts deliver, when collateral is requested or in the event of default. In the tables below, which present fair value balances, our energy-related economic hedges are shown gross. The impact of the netting of fair value balances with the same counterparty that are subject to legally enforceable master netting agreements, as well as netting of cash collateral, including margin on exchange positions, is aggregated in the collateral and netting columns.</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use of cash collateral is generally unrestricted unless we were downgraded below investment grade. As our senior unsecured debt rating is currently rated at BBB+ and Baa1 by S&amp;P and Moody's, respectively, it would take a three-notch downgrade by S&amp;P or Moody's for our rating to go below investment grade.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12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Price Risk</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employ established policies and procedures to manage our risks associated with market fluctuations in commodity prices by entering into physical and financial derivative contracts, including swaps, futures, forwards, options, and short-term and long-term commitments to purchase and sell energy and energy-related products. We believe these instruments, which are either determined to be non-derivative or classified as economic hedges, mitigate exposure to fluctuations in commodity prices.</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general, increases and decreases in forward market prices have a positive and negative impact, respectively, on owned and contracted generation positions that have not been hedged. Beginning in 2024, our existing nuclear fleet is eligible for a nuclear PTC, an important tool in managing commodity price risk for each nuclear unit not already receiving state support. The nuclear PTC provides increasing levels of support as unit revenues decline below levels established in the IRA and is further adjusted for inflation annually through the duration of the program based on the GDP price deflator for the preceding calendar year. See Note 6 — Government Assistance for additional information.</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locations and periods where our load serving activities do not naturally offset existing generation portfolio risk, remaining commodity price exposure is managed through portfolio hedging activities. Portfolio hedging activities are generally concentrated in the prompt three years, when customer demand and market liquidity enable effective price risk mitigation. During this prompt three-year period, we seek to mitigate the price risk associated with our load serving contracts, non-nuclear generation, and any residual price risk for our nuclear generation that the nuclear PTC and state programs may not fully mitigate. We also enter into transactions that further optimize the economic benefits of our overall portfolio.</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 the extent the amount of energy we produce or procure differs from the amount of energy we have contracted to sell, we are exposed to market fluctuations in the prices of electricity, natural gas, and other commodities. We use a variety of derivative and non-derivative instruments to manage the commodity price risk of our electric generation facilities, including power and gas sales, fuel and power purchases, natural gas transportation and pipeline capacity agreements, and other energy-related products marketed and purchased. To manage these risks, we may enter into fixed-price derivative or non-derivative contracts to hedge the variability in future cash flows from expected sales of power and gas and purchases of power and fuel. The objectives for executing such hedges include fixing the price for a portion of anticipated future electricity sales at a level that provides an acceptable return. We are also exposed to differences between the locational settlement prices of certain economic hedges and the hedged generating units. This price difference is actively managed through other instruments which include derivative congestion products, whose changes in fair value are recognized in earnings each period, and auction revenue rights, which are accounted for on an accrual basis.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Note 12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summary of the commodity derivative fair value balances recorded as of March 31, 2026 and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March 31, 2026</w:t>
            </w:r>
          </w:p>
        </w:tc>
        <w:tc>
          <w:tcPr>
            <w:tcW w:w="20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3"/>
                <w:szCs w:val="13"/>
                <w:b w:val="1"/>
                <w:bCs w:val="1"/>
                <w:color w:val="auto"/>
              </w:rPr>
              <w:t>Economic Hedges</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Collateral</w:t>
            </w:r>
            <w:r>
              <w:rPr>
                <w:rFonts w:ascii="Arial" w:cs="Arial" w:eastAsia="Arial" w:hAnsi="Arial"/>
                <w:sz w:val="16"/>
                <w:szCs w:val="16"/>
                <w:b w:val="1"/>
                <w:bCs w:val="1"/>
                <w:color w:val="auto"/>
                <w:vertAlign w:val="superscript"/>
              </w:rPr>
              <w:t>(a)</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Arial" w:cs="Arial" w:eastAsia="Arial" w:hAnsi="Arial"/>
                <w:sz w:val="13"/>
                <w:szCs w:val="13"/>
                <w:b w:val="1"/>
                <w:bCs w:val="1"/>
                <w:color w:val="auto"/>
              </w:rPr>
              <w:t>Netting</w:t>
            </w:r>
            <w:r>
              <w:rPr>
                <w:rFonts w:ascii="Arial" w:cs="Arial" w:eastAsia="Arial" w:hAnsi="Arial"/>
                <w:sz w:val="16"/>
                <w:szCs w:val="16"/>
                <w:b w:val="1"/>
                <w:bCs w:val="1"/>
                <w:color w:val="auto"/>
                <w:vertAlign w:val="superscript"/>
              </w:rPr>
              <w:t>(a)</w:t>
            </w:r>
          </w:p>
        </w:tc>
        <w:tc>
          <w:tcPr>
            <w:tcW w:w="380" w:type="dxa"/>
            <w:vAlign w:val="bottom"/>
          </w:tcPr>
          <w:p>
            <w:pPr>
              <w:spacing w:after="0"/>
              <w:rPr>
                <w:sz w:val="16"/>
                <w:szCs w:val="16"/>
                <w:color w:val="auto"/>
              </w:rPr>
            </w:pPr>
          </w:p>
        </w:tc>
        <w:tc>
          <w:tcPr>
            <w:tcW w:w="1260" w:type="dxa"/>
            <w:vAlign w:val="bottom"/>
          </w:tcPr>
          <w:p>
            <w:pPr>
              <w:jc w:val="right"/>
              <w:ind w:right="6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7"/>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 assets (current)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13,711</w:t>
            </w:r>
          </w:p>
        </w:tc>
        <w:tc>
          <w:tcPr>
            <w:tcW w:w="1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(12,436)</w:t>
            </w: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Derivative assets (noncurrent)</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8,352</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(6,573)</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 assets</w:t>
            </w: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22,063</w:t>
            </w:r>
          </w:p>
        </w:tc>
        <w:tc>
          <w:tcPr>
            <w:tcW w:w="1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(19,009)</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3,813</w:t>
            </w:r>
          </w:p>
        </w:tc>
        <w:tc>
          <w:tcPr>
            <w:tcW w:w="0" w:type="dxa"/>
            <w:vAlign w:val="bottom"/>
          </w:tcPr>
          <w:p>
            <w:pPr>
              <w:spacing w:after="0"/>
              <w:rPr>
                <w:sz w:val="1"/>
                <w:szCs w:val="1"/>
                <w:color w:val="auto"/>
              </w:rPr>
            </w:pPr>
          </w:p>
        </w:tc>
      </w:tr>
      <w:tr>
        <w:trPr>
          <w:trHeight w:val="235"/>
        </w:trPr>
        <w:tc>
          <w:tcPr>
            <w:tcW w:w="4280" w:type="dxa"/>
            <w:vAlign w:val="bottom"/>
          </w:tcPr>
          <w:p>
            <w:pPr>
              <w:ind w:left="20"/>
              <w:spacing w:after="0"/>
              <w:rPr>
                <w:sz w:val="20"/>
                <w:szCs w:val="20"/>
                <w:color w:val="auto"/>
              </w:rPr>
            </w:pPr>
            <w:r>
              <w:rPr>
                <w:rFonts w:ascii="Arial" w:cs="Arial" w:eastAsia="Arial" w:hAnsi="Arial"/>
                <w:sz w:val="16"/>
                <w:szCs w:val="16"/>
                <w:color w:val="auto"/>
              </w:rPr>
              <w:t>Derivative liabilities (current)</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(13,807)</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44"/>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 (noncurrent)</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(7,446)</w:t>
            </w:r>
          </w:p>
        </w:tc>
        <w:tc>
          <w:tcPr>
            <w:tcW w:w="12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derivative liabilities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(21,253)</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63"/>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 net assets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1,683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December 31, 2025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 (current)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7,349</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36"/>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Derivative assets (noncurrent)</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5,030</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(4,853)</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 assets</w:t>
            </w: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12,379</w:t>
            </w:r>
          </w:p>
        </w:tc>
        <w:tc>
          <w:tcPr>
            <w:tcW w:w="1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(11,644)</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35"/>
        </w:trPr>
        <w:tc>
          <w:tcPr>
            <w:tcW w:w="4280" w:type="dxa"/>
            <w:vAlign w:val="bottom"/>
          </w:tcPr>
          <w:p>
            <w:pPr>
              <w:ind w:left="20"/>
              <w:spacing w:after="0"/>
              <w:rPr>
                <w:sz w:val="20"/>
                <w:szCs w:val="20"/>
                <w:color w:val="auto"/>
              </w:rPr>
            </w:pPr>
            <w:r>
              <w:rPr>
                <w:rFonts w:ascii="Arial" w:cs="Arial" w:eastAsia="Arial" w:hAnsi="Arial"/>
                <w:sz w:val="16"/>
                <w:szCs w:val="16"/>
                <w:color w:val="auto"/>
              </w:rPr>
              <w:t>Derivative liabilities (current)</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(7,642)</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44"/>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 (noncurrent)</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(5,585)</w:t>
            </w:r>
          </w:p>
        </w:tc>
        <w:tc>
          <w:tcPr>
            <w:tcW w:w="12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36"/>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derivative liabilities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(13,227)</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63"/>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 net assets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1,352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2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40" w:hanging="332"/>
        <w:spacing w:after="0" w:line="284"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net all available amounts allowed in our Consolidated Balance Sheets in accordance with authoritative guidance for derivatives. These amounts include unrealized derivative transactions with the same counterparty under legally enforceable master netting agreements and cash collateral.</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summarizes the net buy/(sell) notional position of commodity derivative transactions, excluding our NPNS derivatives that are not recorded at fair value, as of March 31, 2026 and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4340" w:type="dxa"/>
            <w:vAlign w:val="bottom"/>
            <w:gridSpan w:val="4"/>
          </w:tcPr>
          <w:p>
            <w:pPr>
              <w:ind w:left="1520"/>
              <w:spacing w:after="0"/>
              <w:rPr>
                <w:sz w:val="20"/>
                <w:szCs w:val="20"/>
                <w:color w:val="auto"/>
              </w:rPr>
            </w:pPr>
            <w:r>
              <w:rPr>
                <w:rFonts w:ascii="Arial" w:cs="Arial" w:eastAsia="Arial" w:hAnsi="Arial"/>
                <w:sz w:val="13"/>
                <w:szCs w:val="13"/>
                <w:b w:val="1"/>
                <w:bCs w:val="1"/>
                <w:color w:val="auto"/>
              </w:rPr>
              <w:t>Total Net Position (In Millions)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7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Commodity Type</w:t>
            </w: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vMerge w:val="restart"/>
          </w:tcPr>
          <w:p>
            <w:pPr>
              <w:jc w:val="right"/>
              <w:ind w:right="224"/>
              <w:spacing w:after="0"/>
              <w:rPr>
                <w:sz w:val="20"/>
                <w:szCs w:val="20"/>
                <w:color w:val="auto"/>
              </w:rPr>
            </w:pPr>
            <w:r>
              <w:rPr>
                <w:rFonts w:ascii="Arial" w:cs="Arial" w:eastAsia="Arial" w:hAnsi="Arial"/>
                <w:sz w:val="13"/>
                <w:szCs w:val="13"/>
                <w:b w:val="1"/>
                <w:bCs w:val="1"/>
                <w:color w:val="auto"/>
              </w:rPr>
              <w:t>Unit of Measure</w:t>
            </w:r>
          </w:p>
        </w:tc>
        <w:tc>
          <w:tcPr>
            <w:tcW w:w="0" w:type="dxa"/>
            <w:vAlign w:val="bottom"/>
          </w:tcPr>
          <w:p>
            <w:pPr>
              <w:spacing w:after="0"/>
              <w:rPr>
                <w:sz w:val="1"/>
                <w:szCs w:val="1"/>
                <w:color w:val="auto"/>
              </w:rPr>
            </w:pPr>
          </w:p>
        </w:tc>
      </w:tr>
      <w:tr>
        <w:trPr>
          <w:trHeight w:val="174"/>
        </w:trPr>
        <w:tc>
          <w:tcPr>
            <w:tcW w:w="4740" w:type="dxa"/>
            <w:vAlign w:val="bottom"/>
            <w:vMerge w:val="continue"/>
          </w:tcPr>
          <w:p>
            <w:pPr>
              <w:spacing w:after="0"/>
              <w:rPr>
                <w:sz w:val="15"/>
                <w:szCs w:val="15"/>
                <w:color w:val="auto"/>
              </w:rPr>
            </w:pPr>
          </w:p>
        </w:tc>
        <w:tc>
          <w:tcPr>
            <w:tcW w:w="1780" w:type="dxa"/>
            <w:vAlign w:val="bottom"/>
          </w:tcPr>
          <w:p>
            <w:pPr>
              <w:ind w:left="720"/>
              <w:spacing w:after="0"/>
              <w:rPr>
                <w:sz w:val="20"/>
                <w:szCs w:val="20"/>
                <w:color w:val="auto"/>
              </w:rPr>
            </w:pPr>
            <w:r>
              <w:rPr>
                <w:rFonts w:ascii="Arial" w:cs="Arial" w:eastAsia="Arial" w:hAnsi="Arial"/>
                <w:sz w:val="13"/>
                <w:szCs w:val="13"/>
                <w:b w:val="1"/>
                <w:bCs w:val="1"/>
                <w:color w:val="auto"/>
              </w:rPr>
              <w:t>March 31, 2026</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ind w:left="620"/>
              <w:spacing w:after="0"/>
              <w:rPr>
                <w:sz w:val="20"/>
                <w:szCs w:val="20"/>
                <w:color w:val="auto"/>
              </w:rPr>
            </w:pPr>
            <w:r>
              <w:rPr>
                <w:rFonts w:ascii="Arial" w:cs="Arial" w:eastAsia="Arial" w:hAnsi="Arial"/>
                <w:sz w:val="13"/>
                <w:szCs w:val="13"/>
                <w:b w:val="1"/>
                <w:bCs w:val="1"/>
                <w:color w:val="auto"/>
              </w:rPr>
              <w:t>December 31, 2025</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7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Electricity</w:t>
            </w:r>
            <w:r>
              <w:rPr>
                <w:rFonts w:ascii="Arial" w:cs="Arial" w:eastAsia="Arial" w:hAnsi="Arial"/>
                <w:sz w:val="21"/>
                <w:szCs w:val="21"/>
                <w:color w:val="auto"/>
                <w:vertAlign w:val="superscript"/>
              </w:rPr>
              <w:t>(a)</w:t>
            </w:r>
          </w:p>
        </w:tc>
        <w:tc>
          <w:tcPr>
            <w:tcW w:w="17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MWh</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Natural Gas</w:t>
            </w:r>
            <w:r>
              <w:rPr>
                <w:rFonts w:ascii="Arial" w:cs="Arial" w:eastAsia="Arial" w:hAnsi="Arial"/>
                <w:sz w:val="21"/>
                <w:szCs w:val="21"/>
                <w:color w:val="auto"/>
                <w:vertAlign w:val="superscript"/>
              </w:rPr>
              <w:t>(a)</w:t>
            </w:r>
          </w:p>
        </w:tc>
        <w:tc>
          <w:tcPr>
            <w:tcW w:w="1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1,576</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MMBtu</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Emissions</w:t>
            </w:r>
          </w:p>
        </w:tc>
        <w:tc>
          <w:tcPr>
            <w:tcW w:w="17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Short Ton</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31" w:lineRule="exact"/>
        <w:rPr>
          <w:sz w:val="20"/>
          <w:szCs w:val="20"/>
          <w:color w:val="auto"/>
        </w:rPr>
      </w:pPr>
    </w:p>
    <w:p>
      <w:pPr>
        <w:ind w:left="340" w:hanging="332"/>
        <w:spacing w:after="0" w:line="294"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increase of net notional position at March 31, 2026 compared to December 31, 2025 is primarily driven by derivatives acquired from Calpine. See Note 2 — Mergers, Acquisitions, and Dispositions for additional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Hedges (Commodity Price Risk)</w:t>
      </w:r>
    </w:p>
    <w:p>
      <w:pPr>
        <w:spacing w:after="0" w:line="1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the three months ended March 31, 2026 and 2025, we recognized the following net pre-tax commodity unrealized gains (losses), which are also included in the Net fair value changes related to derivatives line in the Consolidated Statements of Cash Flows.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Three Months Ended March 31,</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Statement Location</w:t>
            </w:r>
          </w:p>
        </w:tc>
        <w:tc>
          <w:tcPr>
            <w:tcW w:w="2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80" w:type="dxa"/>
            <w:vAlign w:val="bottom"/>
          </w:tcPr>
          <w:p>
            <w:pPr>
              <w:jc w:val="right"/>
              <w:ind w:right="1026"/>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jc w:val="right"/>
              <w:ind w:right="1024"/>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3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Purchased power and fuel</w:t>
            </w:r>
          </w:p>
        </w:tc>
        <w:tc>
          <w:tcPr>
            <w:tcW w:w="23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3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299"/>
              <w:spacing w:after="0"/>
              <w:rPr>
                <w:sz w:val="20"/>
                <w:szCs w:val="20"/>
                <w:color w:val="auto"/>
              </w:rPr>
            </w:pPr>
            <w:r>
              <w:rPr>
                <w:rFonts w:ascii="Arial" w:cs="Arial" w:eastAsia="Arial" w:hAnsi="Arial"/>
                <w:sz w:val="16"/>
                <w:szCs w:val="16"/>
                <w:color w:val="auto"/>
              </w:rPr>
              <w:t>29</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4"/>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9"/>
        </w:trPr>
        <w:tc>
          <w:tcPr>
            <w:tcW w:w="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12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6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utilize interest rate swaps to manage our interest rate exposure, which are treated as economic hedges. The notional amounts for interest rate swaps were approximately $4.6 billion and $1.4 billion as of March 31, 2026 and December 31, 2025, respectively.</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derivative assets and liabilities as of March 31, 2026 and December 31, 2025 and the gains and losses associated with management of interest rate risk for the three months ended March 31, 2026 and 2025 were not material. The gains and losses associated with management of interest rate risk are included in the Net fair value changes related to derivatives line in the Consolidated Statements of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would be exposed to credit-related losses in the event of non-performance by counterparties on executed derivative instruments. The credit exposure of derivative contracts, before collateral, is represented by the fair value of contracts as of the reporting date.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commodity derivatives, we enter into enabling agreements that allow for payment netting with our counterparties, which reduces our exposure to counterparty risk by providing for the offset of amounts payable to the counterparty against amounts receivable from the counterparty. Typically, each enabling agreement is for a specific commodity and, with respect to each individual counterparty, netting is limited to transactions involving that specific commodity product, except where master netting agreements exist with a counterparty that allows for cross product netting. In addition to right of offset language in the enabling agreement, our credit department establishes credit limits, margining thresholds and collateral requirements for each counterparty, which are defined in the derivative contracts. Counterparty credit limits are based on an internal credit review process that considers a variety of factors, including the results of a scoring model, leverage, liquidity, profitability, credit ratings by credit rating agencies, and other risk management criteria. To the extent that a counterparty’s margining thresholds are exceeded, the counterparty is required to post collateral with us, as specified in each enabling agreement. Our credit department monitors current and forward credit exposure to counterparties and their affiliates, both on an individual and an aggregate basis.</w:t>
      </w:r>
    </w:p>
    <w:p>
      <w:pPr>
        <w:spacing w:after="0" w:line="319"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The following tables provide information on the credit exposure for derivative instruments, inclusive of payables and receivables, net of collateral and instruments that are subject to master netting agreements, as of March 31, 2026. The amounts in the tables below exclude credit risk exposure from individual retail counterparties, NPNS contracts, forward values on non-derivative contracts and exposure through RTOs, ISOs, as well as commodity exchanges. The tables further delineate that exposure by credit rating of the counterparties and provide guidance on the concentration of credit risk to individual counterparties.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Number of Counterparties</w:t>
            </w:r>
          </w:p>
        </w:tc>
        <w:tc>
          <w:tcPr>
            <w:tcW w:w="220" w:type="dxa"/>
            <w:vAlign w:val="bottom"/>
          </w:tcPr>
          <w:p>
            <w:pPr>
              <w:spacing w:after="0"/>
              <w:rPr>
                <w:sz w:val="14"/>
                <w:szCs w:val="14"/>
                <w:color w:val="auto"/>
              </w:rPr>
            </w:pPr>
          </w:p>
        </w:tc>
        <w:tc>
          <w:tcPr>
            <w:tcW w:w="1420" w:type="dxa"/>
            <w:vAlign w:val="bottom"/>
          </w:tcPr>
          <w:p>
            <w:pPr>
              <w:jc w:val="center"/>
              <w:ind w:right="146"/>
              <w:spacing w:after="0"/>
              <w:rPr>
                <w:sz w:val="20"/>
                <w:szCs w:val="20"/>
                <w:color w:val="auto"/>
              </w:rPr>
            </w:pPr>
            <w:r>
              <w:rPr>
                <w:rFonts w:ascii="Arial" w:cs="Arial" w:eastAsia="Arial" w:hAnsi="Arial"/>
                <w:sz w:val="13"/>
                <w:szCs w:val="13"/>
                <w:b w:val="1"/>
                <w:bCs w:val="1"/>
                <w:color w:val="auto"/>
                <w:w w:val="96"/>
              </w:rPr>
              <w:t>Net Exposure of</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126"/>
              <w:spacing w:after="0"/>
              <w:rPr>
                <w:sz w:val="20"/>
                <w:szCs w:val="20"/>
                <w:color w:val="auto"/>
              </w:rPr>
            </w:pPr>
            <w:r>
              <w:rPr>
                <w:rFonts w:ascii="Arial" w:cs="Arial" w:eastAsia="Arial" w:hAnsi="Arial"/>
                <w:sz w:val="13"/>
                <w:szCs w:val="13"/>
                <w:b w:val="1"/>
                <w:bCs w:val="1"/>
                <w:color w:val="auto"/>
                <w:w w:val="97"/>
              </w:rPr>
              <w:t>Counterparties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Exposure</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Greater than 10% of Net</w:t>
            </w:r>
          </w:p>
        </w:tc>
        <w:tc>
          <w:tcPr>
            <w:tcW w:w="1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Greater than 10% of Net</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Arial" w:cs="Arial" w:eastAsia="Arial" w:hAnsi="Arial"/>
                <w:sz w:val="13"/>
                <w:szCs w:val="13"/>
                <w:b w:val="1"/>
                <w:bCs w:val="1"/>
                <w:color w:val="auto"/>
              </w:rPr>
              <w:t>Rating as of March 31, 2026</w:t>
            </w:r>
          </w:p>
        </w:tc>
        <w:tc>
          <w:tcPr>
            <w:tcW w:w="1600" w:type="dxa"/>
            <w:vAlign w:val="bottom"/>
            <w:gridSpan w:val="3"/>
          </w:tcPr>
          <w:p>
            <w:pPr>
              <w:ind w:left="40"/>
              <w:spacing w:after="0"/>
              <w:rPr>
                <w:sz w:val="20"/>
                <w:szCs w:val="20"/>
                <w:color w:val="auto"/>
              </w:rPr>
            </w:pPr>
            <w:r>
              <w:rPr>
                <w:rFonts w:ascii="Arial" w:cs="Arial" w:eastAsia="Arial" w:hAnsi="Arial"/>
                <w:sz w:val="13"/>
                <w:szCs w:val="13"/>
                <w:b w:val="1"/>
                <w:bCs w:val="1"/>
                <w:color w:val="auto"/>
              </w:rPr>
              <w:t>Before Credit Collateral</w:t>
            </w:r>
          </w:p>
        </w:tc>
        <w:tc>
          <w:tcPr>
            <w:tcW w:w="16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Credit Collateral</w:t>
            </w:r>
            <w:r>
              <w:rPr>
                <w:rFonts w:ascii="Arial" w:cs="Arial" w:eastAsia="Arial" w:hAnsi="Arial"/>
                <w:sz w:val="16"/>
                <w:szCs w:val="16"/>
                <w:b w:val="1"/>
                <w:bCs w:val="1"/>
                <w:color w:val="auto"/>
                <w:vertAlign w:val="superscript"/>
              </w:rPr>
              <w:t>(a)</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b w:val="1"/>
                <w:bCs w:val="1"/>
                <w:color w:val="auto"/>
              </w:rPr>
              <w:t>Net Exposure</w:t>
            </w:r>
          </w:p>
        </w:tc>
        <w:tc>
          <w:tcPr>
            <w:tcW w:w="1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Exposure</w:t>
            </w:r>
          </w:p>
        </w:tc>
        <w:tc>
          <w:tcPr>
            <w:tcW w:w="220" w:type="dxa"/>
            <w:vAlign w:val="bottom"/>
          </w:tcPr>
          <w:p>
            <w:pPr>
              <w:spacing w:after="0"/>
              <w:rPr>
                <w:sz w:val="16"/>
                <w:szCs w:val="16"/>
                <w:color w:val="auto"/>
              </w:rPr>
            </w:pPr>
          </w:p>
        </w:tc>
        <w:tc>
          <w:tcPr>
            <w:tcW w:w="1420" w:type="dxa"/>
            <w:vAlign w:val="bottom"/>
          </w:tcPr>
          <w:p>
            <w:pPr>
              <w:jc w:val="center"/>
              <w:ind w:right="126"/>
              <w:spacing w:after="0"/>
              <w:rPr>
                <w:sz w:val="20"/>
                <w:szCs w:val="20"/>
                <w:color w:val="auto"/>
              </w:rPr>
            </w:pPr>
            <w:r>
              <w:rPr>
                <w:rFonts w:ascii="Arial" w:cs="Arial" w:eastAsia="Arial" w:hAnsi="Arial"/>
                <w:sz w:val="13"/>
                <w:szCs w:val="13"/>
                <w:b w:val="1"/>
                <w:bCs w:val="1"/>
                <w:color w:val="auto"/>
                <w:w w:val="97"/>
              </w:rPr>
              <w:t>Exposure</w:t>
            </w:r>
          </w:p>
        </w:tc>
        <w:tc>
          <w:tcPr>
            <w:tcW w:w="0" w:type="dxa"/>
            <w:vAlign w:val="bottom"/>
          </w:tcPr>
          <w:p>
            <w:pPr>
              <w:spacing w:after="0"/>
              <w:rPr>
                <w:sz w:val="1"/>
                <w:szCs w:val="1"/>
                <w:color w:val="auto"/>
              </w:rPr>
            </w:pPr>
          </w:p>
        </w:tc>
      </w:tr>
      <w:tr>
        <w:trPr>
          <w:trHeight w:val="23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grade</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1,979</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12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35"/>
        </w:trPr>
        <w:tc>
          <w:tcPr>
            <w:tcW w:w="3080" w:type="dxa"/>
            <w:vAlign w:val="bottom"/>
          </w:tcPr>
          <w:p>
            <w:pPr>
              <w:ind w:left="20"/>
              <w:spacing w:after="0"/>
              <w:rPr>
                <w:sz w:val="20"/>
                <w:szCs w:val="20"/>
                <w:color w:val="auto"/>
              </w:rPr>
            </w:pPr>
            <w:r>
              <w:rPr>
                <w:rFonts w:ascii="Arial" w:cs="Arial" w:eastAsia="Arial" w:hAnsi="Arial"/>
                <w:sz w:val="16"/>
                <w:szCs w:val="16"/>
                <w:color w:val="auto"/>
              </w:rPr>
              <w:t>Non-investment grade</w:t>
            </w:r>
          </w:p>
        </w:tc>
        <w:tc>
          <w:tcPr>
            <w:tcW w:w="20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 external ratings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080" w:type="dxa"/>
            <w:vAlign w:val="bottom"/>
          </w:tcPr>
          <w:p>
            <w:pPr>
              <w:ind w:left="220"/>
              <w:spacing w:after="0"/>
              <w:rPr>
                <w:sz w:val="20"/>
                <w:szCs w:val="20"/>
                <w:color w:val="auto"/>
              </w:rPr>
            </w:pPr>
            <w:r>
              <w:rPr>
                <w:rFonts w:ascii="Arial" w:cs="Arial" w:eastAsia="Arial" w:hAnsi="Arial"/>
                <w:sz w:val="16"/>
                <w:szCs w:val="16"/>
                <w:color w:val="auto"/>
              </w:rPr>
              <w:t>Internally rated — investment grade</w:t>
            </w:r>
          </w:p>
        </w:tc>
        <w:tc>
          <w:tcPr>
            <w:tcW w:w="20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Internally rated — non-investment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grade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2,535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2,413</w:t>
            </w:r>
          </w:p>
        </w:tc>
        <w:tc>
          <w:tcPr>
            <w:tcW w:w="120" w:type="dxa"/>
            <w:vAlign w:val="bottom"/>
          </w:tcPr>
          <w:p>
            <w:pPr>
              <w:spacing w:after="0"/>
              <w:rPr>
                <w:sz w:val="21"/>
                <w:szCs w:val="21"/>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of March 31, 2026, credit collateral held from counterparties where we had credit exposure included $36 million of cash and $86 million of letters of credit.</w:t>
      </w:r>
    </w:p>
    <w:p>
      <w:pPr>
        <w:spacing w:after="0" w:line="200" w:lineRule="exact"/>
        <w:rPr>
          <w:rFonts w:ascii="Arial" w:cs="Arial" w:eastAsia="Arial" w:hAnsi="Arial"/>
          <w:sz w:val="14"/>
          <w:szCs w:val="14"/>
          <w:color w:val="auto"/>
        </w:rPr>
      </w:pPr>
    </w:p>
    <w:p>
      <w:pPr>
        <w:spacing w:after="0" w:line="309"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5300" w:type="dxa"/>
            <w:vAlign w:val="bottom"/>
            <w:gridSpan w:val="3"/>
          </w:tcPr>
          <w:p>
            <w:pPr>
              <w:jc w:val="right"/>
              <w:spacing w:after="0"/>
              <w:rPr>
                <w:sz w:val="20"/>
                <w:szCs w:val="20"/>
                <w:color w:val="auto"/>
              </w:rPr>
            </w:pPr>
            <w:r>
              <w:rPr>
                <w:rFonts w:ascii="Arial" w:cs="Arial" w:eastAsia="Arial" w:hAnsi="Arial"/>
                <w:sz w:val="16"/>
                <w:szCs w:val="16"/>
                <w:color w:val="auto"/>
              </w:rPr>
              <w:t>Note 12 — Derivative Financial Instruments</w:t>
            </w:r>
          </w:p>
        </w:tc>
      </w:tr>
      <w:tr>
        <w:trPr>
          <w:trHeight w:val="804"/>
        </w:trPr>
        <w:tc>
          <w:tcPr>
            <w:tcW w:w="5940" w:type="dxa"/>
            <w:vAlign w:val="bottom"/>
          </w:tcPr>
          <w:p>
            <w:pPr>
              <w:ind w:left="20"/>
              <w:spacing w:after="0"/>
              <w:rPr>
                <w:sz w:val="20"/>
                <w:szCs w:val="20"/>
                <w:color w:val="auto"/>
              </w:rPr>
            </w:pPr>
            <w:r>
              <w:rPr>
                <w:rFonts w:ascii="Arial" w:cs="Arial" w:eastAsia="Arial" w:hAnsi="Arial"/>
                <w:sz w:val="13"/>
                <w:szCs w:val="13"/>
                <w:b w:val="1"/>
                <w:bCs w:val="1"/>
                <w:color w:val="auto"/>
              </w:rPr>
              <w:t>Net Credit Exposure by Type of Counterparty</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jc w:val="right"/>
              <w:ind w:right="562"/>
              <w:spacing w:after="0"/>
              <w:rPr>
                <w:sz w:val="20"/>
                <w:szCs w:val="20"/>
                <w:color w:val="auto"/>
              </w:rPr>
            </w:pPr>
            <w:r>
              <w:rPr>
                <w:rFonts w:ascii="Arial" w:cs="Arial" w:eastAsia="Arial" w:hAnsi="Arial"/>
                <w:sz w:val="13"/>
                <w:szCs w:val="13"/>
                <w:b w:val="1"/>
                <w:bCs w:val="1"/>
                <w:color w:val="auto"/>
              </w:rPr>
              <w:t>As of March 31, 2026</w:t>
            </w:r>
          </w:p>
        </w:tc>
      </w:tr>
      <w:tr>
        <w:trPr>
          <w:trHeight w:val="22"/>
        </w:trPr>
        <w:tc>
          <w:tcPr>
            <w:tcW w:w="594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Investor-owned utilities, marketers, power producers</w:t>
            </w:r>
          </w:p>
        </w:tc>
        <w:tc>
          <w:tcPr>
            <w:tcW w:w="3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1,218</w:t>
            </w:r>
          </w:p>
        </w:tc>
      </w:tr>
      <w:tr>
        <w:trPr>
          <w:trHeight w:val="235"/>
        </w:trPr>
        <w:tc>
          <w:tcPr>
            <w:tcW w:w="5940" w:type="dxa"/>
            <w:vAlign w:val="bottom"/>
          </w:tcPr>
          <w:p>
            <w:pPr>
              <w:ind w:left="20"/>
              <w:spacing w:after="0"/>
              <w:rPr>
                <w:sz w:val="20"/>
                <w:szCs w:val="20"/>
                <w:color w:val="auto"/>
              </w:rPr>
            </w:pPr>
            <w:r>
              <w:rPr>
                <w:rFonts w:ascii="Arial" w:cs="Arial" w:eastAsia="Arial" w:hAnsi="Arial"/>
                <w:sz w:val="16"/>
                <w:szCs w:val="16"/>
                <w:color w:val="auto"/>
              </w:rPr>
              <w:t>Financial Institutions</w:t>
            </w:r>
          </w:p>
        </w:tc>
        <w:tc>
          <w:tcPr>
            <w:tcW w:w="2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jc w:val="right"/>
              <w:ind w:right="2"/>
              <w:spacing w:after="0"/>
              <w:rPr>
                <w:sz w:val="20"/>
                <w:szCs w:val="20"/>
                <w:color w:val="auto"/>
              </w:rPr>
            </w:pPr>
            <w:r>
              <w:rPr>
                <w:rFonts w:ascii="Arial" w:cs="Arial" w:eastAsia="Arial" w:hAnsi="Arial"/>
                <w:sz w:val="16"/>
                <w:szCs w:val="16"/>
                <w:color w:val="auto"/>
              </w:rPr>
              <w:t>599</w:t>
            </w:r>
          </w:p>
        </w:tc>
      </w:tr>
      <w:tr>
        <w:trPr>
          <w:trHeight w:val="251"/>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Energy cooperatives and municipalities</w:t>
            </w:r>
          </w:p>
        </w:tc>
        <w:tc>
          <w:tcPr>
            <w:tcW w:w="2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223</w:t>
            </w:r>
          </w:p>
        </w:tc>
      </w:tr>
      <w:tr>
        <w:trPr>
          <w:trHeight w:val="237"/>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7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373</w:t>
            </w:r>
          </w:p>
        </w:tc>
      </w:tr>
      <w:tr>
        <w:trPr>
          <w:trHeight w:val="26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2,413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Credit-Risk-Related Contingent Features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part of the normal course of business, we routinely enter into physically and financially settled contracts for the purchase and sale of capacity, electricity, fuels, emissions allowances, and other energy-related products. Certain of our derivative instruments contain provisions that require us to post collateral. We also enter into commodity transactions on exchanges where the exchanges act as the counterparty to each trade. Transactions on the exchanges must adhere to comprehensive collateral and margining requirements. This collateral may be posted in the form of cash or credit support with thresholds contingent upon our credit ratings from S&amp;P and Moody's. The collateral and credit support requirements vary by contract and by counterparty. These credit-risk-related contingent features stipulate that if we were to be downgraded or lose our investment grade credit ratings (based on our senior unsecured debt rating), we would be required to provide additional collateral. This incremental collateral requirement allows for the offsetting of derivative instruments that are assets with the same counterparty, where the contractual right of offset exists under applicable master netting agreements. In the absence of expressly agreed-to provisions that specify the collateral that must be provided, collateral requested will be a function of the facts and circumstances of the situation at the time of the demand. In such cases, we believe an amount of several months of future payments (e.g., capacity payments) rather than a calculation of fair value is a reasonable estimate for the contingent collateral obligation, which has been factored into the disclosure below.</w:t>
      </w:r>
    </w:p>
    <w:p>
      <w:pPr>
        <w:spacing w:after="0" w:line="12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aggregate fair value of all derivative instruments with credit-risk-related contingent features in a liability position that are not fully collateralized (excluding transactions on the exchanges that are fully collateralized) is detailed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ind w:left="20"/>
              <w:spacing w:after="0"/>
              <w:rPr>
                <w:sz w:val="20"/>
                <w:szCs w:val="20"/>
                <w:color w:val="auto"/>
              </w:rPr>
            </w:pPr>
            <w:r>
              <w:rPr>
                <w:rFonts w:ascii="Arial" w:cs="Arial" w:eastAsia="Arial" w:hAnsi="Arial"/>
                <w:sz w:val="13"/>
                <w:szCs w:val="13"/>
                <w:b w:val="1"/>
                <w:bCs w:val="1"/>
                <w:color w:val="auto"/>
              </w:rPr>
              <w:t>Credit-Risk-Related Contingent Features</w:t>
            </w:r>
          </w:p>
        </w:tc>
        <w:tc>
          <w:tcPr>
            <w:tcW w:w="460" w:type="dxa"/>
            <w:vAlign w:val="bottom"/>
          </w:tcPr>
          <w:p>
            <w:pPr>
              <w:spacing w:after="0"/>
              <w:rPr>
                <w:sz w:val="14"/>
                <w:szCs w:val="14"/>
                <w:color w:val="auto"/>
              </w:rPr>
            </w:pPr>
          </w:p>
        </w:tc>
        <w:tc>
          <w:tcPr>
            <w:tcW w:w="2160" w:type="dxa"/>
            <w:vAlign w:val="bottom"/>
            <w:gridSpan w:val="2"/>
          </w:tcPr>
          <w:p>
            <w:pPr>
              <w:ind w:left="340"/>
              <w:spacing w:after="0"/>
              <w:rPr>
                <w:sz w:val="20"/>
                <w:szCs w:val="20"/>
                <w:color w:val="auto"/>
              </w:rPr>
            </w:pPr>
            <w:r>
              <w:rPr>
                <w:rFonts w:ascii="Arial" w:cs="Arial" w:eastAsia="Arial" w:hAnsi="Arial"/>
                <w:sz w:val="13"/>
                <w:szCs w:val="13"/>
                <w:b w:val="1"/>
                <w:bCs w:val="1"/>
                <w:color w:val="auto"/>
              </w:rPr>
              <w:t>March 31, 2026</w:t>
            </w:r>
          </w:p>
        </w:tc>
        <w:tc>
          <w:tcPr>
            <w:tcW w:w="400" w:type="dxa"/>
            <w:vAlign w:val="bottom"/>
          </w:tcPr>
          <w:p>
            <w:pPr>
              <w:spacing w:after="0"/>
              <w:rPr>
                <w:sz w:val="14"/>
                <w:szCs w:val="14"/>
                <w:color w:val="auto"/>
              </w:rPr>
            </w:pPr>
          </w:p>
        </w:tc>
        <w:tc>
          <w:tcPr>
            <w:tcW w:w="2100" w:type="dxa"/>
            <w:vAlign w:val="bottom"/>
          </w:tcPr>
          <w:p>
            <w:pPr>
              <w:jc w:val="right"/>
              <w:ind w:right="604"/>
              <w:spacing w:after="0"/>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22"/>
        </w:trPr>
        <w:tc>
          <w:tcPr>
            <w:tcW w:w="6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fair value of derivative contracts containing this feature</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center"/>
              <w:ind w:left="1404"/>
              <w:spacing w:after="0"/>
              <w:rPr>
                <w:sz w:val="20"/>
                <w:szCs w:val="20"/>
                <w:color w:val="auto"/>
              </w:rPr>
            </w:pPr>
            <w:r>
              <w:rPr>
                <w:rFonts w:ascii="Arial" w:cs="Arial" w:eastAsia="Arial" w:hAnsi="Arial"/>
                <w:sz w:val="16"/>
                <w:szCs w:val="16"/>
                <w:color w:val="auto"/>
              </w:rPr>
              <w:t>(2,321)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42"/>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Offsetting fair value of derivative contracts under master netting arrangements</w:t>
            </w:r>
          </w:p>
        </w:tc>
        <w:tc>
          <w:tcPr>
            <w:tcW w:w="4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left="1404"/>
              <w:spacing w:after="0"/>
              <w:rPr>
                <w:sz w:val="20"/>
                <w:szCs w:val="20"/>
                <w:color w:val="auto"/>
              </w:rPr>
            </w:pPr>
            <w:r>
              <w:rPr>
                <w:rFonts w:ascii="Arial" w:cs="Arial" w:eastAsia="Arial" w:hAnsi="Arial"/>
                <w:sz w:val="16"/>
                <w:szCs w:val="16"/>
                <w:color w:val="auto"/>
                <w:w w:val="99"/>
              </w:rPr>
              <w:t>1,192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6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fair value of derivative contracts containing this feature</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center"/>
              <w:ind w:left="1404"/>
              <w:spacing w:after="0"/>
              <w:rPr>
                <w:sz w:val="20"/>
                <w:szCs w:val="20"/>
                <w:color w:val="auto"/>
              </w:rPr>
            </w:pPr>
            <w:r>
              <w:rPr>
                <w:rFonts w:ascii="Arial" w:cs="Arial" w:eastAsia="Arial" w:hAnsi="Arial"/>
                <w:sz w:val="16"/>
                <w:szCs w:val="16"/>
                <w:color w:val="auto"/>
              </w:rPr>
              <w:t>(1,129)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6"/>
                <w:szCs w:val="16"/>
                <w:color w:val="auto"/>
              </w:rPr>
              <w:t>31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61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9"/>
        </w:trPr>
        <w:tc>
          <w:tcPr>
            <w:tcW w:w="6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12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March 31, 2026 and December 31, 2025, we posted or held the following amounts of cash collateral and letters of credit on derivative contracts with external counterparties, after giving consideration to offsetting derivative and non-derivative positions under master netting agreements.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spacing w:after="0"/>
              <w:rPr>
                <w:sz w:val="14"/>
                <w:szCs w:val="14"/>
                <w:color w:val="auto"/>
              </w:rPr>
            </w:pPr>
          </w:p>
        </w:tc>
        <w:tc>
          <w:tcPr>
            <w:tcW w:w="1860" w:type="dxa"/>
            <w:vAlign w:val="bottom"/>
          </w:tcPr>
          <w:p>
            <w:pPr>
              <w:jc w:val="right"/>
              <w:ind w:right="88"/>
              <w:spacing w:after="0"/>
              <w:rPr>
                <w:sz w:val="20"/>
                <w:szCs w:val="20"/>
                <w:color w:val="auto"/>
              </w:rPr>
            </w:pPr>
            <w:r>
              <w:rPr>
                <w:rFonts w:ascii="Arial" w:cs="Arial" w:eastAsia="Arial" w:hAnsi="Arial"/>
                <w:sz w:val="13"/>
                <w:szCs w:val="13"/>
                <w:b w:val="1"/>
                <w:bCs w:val="1"/>
                <w:color w:val="auto"/>
              </w:rPr>
              <w:t>March 31, 2026</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jc w:val="right"/>
              <w:ind w:right="602"/>
              <w:spacing w:after="0"/>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22"/>
        </w:trPr>
        <w:tc>
          <w:tcPr>
            <w:tcW w:w="6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collateral posted</w:t>
            </w:r>
          </w:p>
        </w:tc>
        <w:tc>
          <w:tcPr>
            <w:tcW w:w="1860" w:type="dxa"/>
            <w:vAlign w:val="bottom"/>
            <w:shd w:val="clear" w:color="auto" w:fill="CCEEFF"/>
          </w:tcPr>
          <w:p>
            <w:pPr>
              <w:jc w:val="right"/>
              <w:ind w:right="1668"/>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215"/>
        </w:trPr>
        <w:tc>
          <w:tcPr>
            <w:tcW w:w="6120" w:type="dxa"/>
            <w:vAlign w:val="bottom"/>
          </w:tcPr>
          <w:p>
            <w:pPr>
              <w:ind w:left="20"/>
              <w:spacing w:after="0"/>
              <w:rPr>
                <w:sz w:val="20"/>
                <w:szCs w:val="20"/>
                <w:color w:val="auto"/>
              </w:rPr>
            </w:pPr>
            <w:r>
              <w:rPr>
                <w:rFonts w:ascii="Arial" w:cs="Arial" w:eastAsia="Arial" w:hAnsi="Arial"/>
                <w:sz w:val="16"/>
                <w:szCs w:val="16"/>
                <w:color w:val="auto"/>
              </w:rPr>
              <w:t>Letters of credit posted</w:t>
            </w:r>
          </w:p>
        </w:tc>
        <w:tc>
          <w:tcPr>
            <w:tcW w:w="18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jc w:val="right"/>
              <w:ind w:right="2"/>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collateral held</w:t>
            </w:r>
          </w:p>
        </w:tc>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6120" w:type="dxa"/>
            <w:vAlign w:val="bottom"/>
          </w:tcPr>
          <w:p>
            <w:pPr>
              <w:ind w:left="20"/>
              <w:spacing w:after="0"/>
              <w:rPr>
                <w:sz w:val="20"/>
                <w:szCs w:val="20"/>
                <w:color w:val="auto"/>
              </w:rPr>
            </w:pPr>
            <w:r>
              <w:rPr>
                <w:rFonts w:ascii="Arial" w:cs="Arial" w:eastAsia="Arial" w:hAnsi="Arial"/>
                <w:sz w:val="16"/>
                <w:szCs w:val="16"/>
                <w:color w:val="auto"/>
              </w:rPr>
              <w:t>Letters of credit held</w:t>
            </w:r>
          </w:p>
        </w:tc>
        <w:tc>
          <w:tcPr>
            <w:tcW w:w="18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jc w:val="right"/>
              <w:ind w:right="2"/>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63"/>
        </w:trPr>
        <w:tc>
          <w:tcPr>
            <w:tcW w:w="61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Additional collateral required in the event of a credit downgrade below investment</w:t>
            </w:r>
          </w:p>
        </w:tc>
        <w:tc>
          <w:tcPr>
            <w:tcW w:w="18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2,972</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1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2,670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grade (at BB+/Ba1)</w:t>
            </w:r>
            <w:r>
              <w:rPr>
                <w:rFonts w:ascii="Arial" w:cs="Arial" w:eastAsia="Arial" w:hAnsi="Arial"/>
                <w:sz w:val="21"/>
                <w:szCs w:val="21"/>
                <w:color w:val="auto"/>
                <w:vertAlign w:val="superscript"/>
              </w:rPr>
              <w:t>(a)(b)(c)</w:t>
            </w:r>
          </w:p>
        </w:tc>
        <w:tc>
          <w:tcPr>
            <w:tcW w:w="18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jc w:val="both"/>
        <w:ind w:left="340" w:hanging="332"/>
        <w:spacing w:after="0" w:line="262"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Certain of our contracts contain provisions that allow a counterparty to request additional collateral when there has been a subjective determination that our credit quality has deteriorated, generally termed “adequate assurance”. Due to the subjective nature of these provisions, we estimate the amount of collateral that we may ultimately be required to post in relation to the maximum exposure with the counterparty.</w:t>
      </w:r>
    </w:p>
    <w:p>
      <w:pPr>
        <w:ind w:left="340" w:right="20" w:hanging="332"/>
        <w:spacing w:after="0" w:line="251"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downgrade collateral is inclusive of all contracts in a liability position regardless of accounting treatment and excludes any contracts with individual retail counterparties.</w:t>
      </w:r>
    </w:p>
    <w:p>
      <w:pPr>
        <w:spacing w:after="0" w:line="169"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loss of investment grade credit rating would require a three-notch downgrade from current levels of BBB+ and Baa1 at S&amp;P and Moody's, respectively.</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routinely enter into supply forward contracts with certain utilities with one-sided collateral postings only from us. If market prices fall below the benchmark price levels in these contracts, the utilities are not required to post collateral. However, when market prices rise above the benchmark price levels, we are required to post collateral once certain unsecured credit limits are exceeded.</w:t>
      </w:r>
    </w:p>
    <w:p>
      <w:pPr>
        <w:spacing w:after="0" w:line="110" w:lineRule="exact"/>
        <w:rPr>
          <w:sz w:val="20"/>
          <w:szCs w:val="20"/>
          <w:color w:val="auto"/>
        </w:rPr>
      </w:pPr>
    </w:p>
    <w:p>
      <w:pPr>
        <w:ind w:right="8780" w:firstLine="8"/>
        <w:spacing w:after="0" w:line="467" w:lineRule="auto"/>
        <w:tabs>
          <w:tab w:leader="none" w:pos="27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Debt and Credit Agreements Long-Term Debt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Calpine Acquisition</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Upon completion of the acquisition of Calpine in January 2026, we assumed approximately $12.6 billion of debt inclusive of approximately $7.6 billion of corporate long-term debt, including senior unsecured and secured notes and corporate term loans in addition to approximately $5.0 billion of various project financing arrangements. Pursuant to the Exchange Offers discussed below, we issued new notes in January 2026 effectively replacing $2.3 billion of Calpine's senior unsecured and secured notes with Constellation senior unsecured notes. Using the proceeds from our January 2026 bond issuance, as discussed below, along with cash on hand and short-term debt, we repaid $2.5 billion of Calpine corporate term loans immediately after the acquisition closing, $1.25 billion of Calpine senior secured first lien notes in February 2026, and $1.4 billion of Calpine senior unsecured notes in March 2026.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As discussed above, the following project financing arrangements were assumed as part of the acquisition:</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Geysers Power Company, LLC. </w:t>
      </w:r>
      <w:r>
        <w:rPr>
          <w:rFonts w:ascii="Arial" w:cs="Arial" w:eastAsia="Arial" w:hAnsi="Arial"/>
          <w:sz w:val="16"/>
          <w:szCs w:val="16"/>
          <w:color w:val="auto"/>
        </w:rPr>
        <w:t>We acquired the GPC first lien senior secured term loan facility, which includes a term loan and $250 million letter of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facility, up to $50 million of which may be used for loans to finance energy storage projects ("sub-facility"). At acquisition, outstanding borrowings under the term loan and sub-facility were approximately $1.35 billion and $45 million, respectively. The GPC facility is secured by substantially all of the real and personal property of GPC and subsidiaries, primarily consisting of the Geysers Assets. The facility matures May 2029 and bears interest at SOFR plus 1.625%. As of March 31, 2026, there were $1.3 billion and $44 million of borrowings outstanding under the term loan and sub-facility, respectively.</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Calpine Construction Finance Company, L.P. </w:t>
      </w:r>
      <w:r>
        <w:rPr>
          <w:rFonts w:ascii="Arial" w:cs="Arial" w:eastAsia="Arial" w:hAnsi="Arial"/>
          <w:sz w:val="16"/>
          <w:szCs w:val="16"/>
          <w:color w:val="auto"/>
        </w:rPr>
        <w:t>We acquired the CCFC first lien senior secured term loan facility with $2.1 billion outstanding borrowings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The CCFC term loan facility is secured by certain real and personal property of CCFC, primarily seven natural gas-fired power plants. One plant secured under the facility, the Jack A. Fusco Energy Center (Fusco), is subject to sale in accordance with the DOJ resolution. See Note 2 — Mergers, Acquisitions, and Dispositions for additional information. Under the terms of the loan facility, CCFC may require the consent of certain lenders to release Fusco as guarantor depending on the application 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13 — Debt and Credit Agreements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sales proceeds. The term loan matures July 2030 and bears interest at SOFR plus 1.75%. As of March 31, 2026, there was $2.1 billion of borrowings outstanding under the term loan.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CDHI Intermediate Holdco, LLC. </w:t>
      </w:r>
      <w:r>
        <w:rPr>
          <w:rFonts w:ascii="Arial" w:cs="Arial" w:eastAsia="Arial" w:hAnsi="Arial"/>
          <w:sz w:val="16"/>
          <w:szCs w:val="16"/>
          <w:color w:val="auto"/>
        </w:rPr>
        <w:t>We acquired the CDHI facility (CDHI Revolver), a $1.20 billion letter of credit facility, up to $400 million of which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for revolving loans to finance construction of renewable energy projects. At acquisition, outstanding borrowings under the CDHI Revolver were $319 million. The CDHI Revolver is secured by substantially all of the assets of CDHI's subsidiaries in accordance with the terms of the agreement. The York Energy Centers that partially secure the CDHI Revolver are subject to sale in accordance with the DOJ resolution. Under the terms of the CDHI revolver, consent of certain lenders is required to release these plants as collateral. See Note 2 — Mergers, Acquisitions, and Dispositions for additional information. Redemptions prior to March 2026 were based on SOFR plus 2.25%, and effective March 2026, redemptions bear interest at SOFR plus 2.375%. The CDHI Revolver matures March 2028. In March 2026 and April 2026, the CDHI revolver's total capacity was reduced by $250 million and $568 million, respectively. As of March 31, 2026, there was $309 million of borrowings outstanding under the credit facility.</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Nova Power, LLC. </w:t>
      </w:r>
      <w:r>
        <w:rPr>
          <w:rFonts w:ascii="Arial" w:cs="Arial" w:eastAsia="Arial" w:hAnsi="Arial"/>
          <w:sz w:val="16"/>
          <w:szCs w:val="16"/>
          <w:color w:val="auto"/>
        </w:rPr>
        <w:t>We acquired the Nova Power, LLC credit agreement, which is comprised of a term loan, with $591 million of outstanding borrowings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and a $80 million letter of credit facility. The agreement finances a portion of the cost of the development, construction, maintenance, and operation of the Nova Power battery storage project, and is secured by Nova Power's real and personal property. The credit agreement matures September 2031 and bears interest at SOFR plus 1.75%. As of March 31, 2026, there was $581 million of borrowings outstanding under the credit agreement.</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 xml:space="preserve">Greenfield L.P. </w:t>
      </w:r>
      <w:r>
        <w:rPr>
          <w:rFonts w:ascii="Arial" w:cs="Arial" w:eastAsia="Arial" w:hAnsi="Arial"/>
          <w:sz w:val="16"/>
          <w:szCs w:val="16"/>
          <w:color w:val="auto"/>
        </w:rPr>
        <w:t>We acquired the Greenfield L.P. credit facility, which includes a term loan, with $342 million of outstanding borrowings at acquisition,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letters of credit facilities, with issuing capacity of approximately $75 million. The Greenfield L.P. credit facility is secured by certain real and personal property, primarily the Greenfield Energy Center in Ontario, Canada. The credit facility matures November 2030 and bears interest at CORRA plus 1.875%. As of March 31, 2026, there was $330 million of borrowings outstanding under the facility.</w:t>
      </w:r>
    </w:p>
    <w:p>
      <w:pPr>
        <w:spacing w:after="0" w:line="1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i w:val="1"/>
          <w:iCs w:val="1"/>
          <w:color w:val="auto"/>
        </w:rPr>
        <w:t xml:space="preserve">Pin Oak Creek Energy Center LLC. </w:t>
      </w:r>
      <w:r>
        <w:rPr>
          <w:rFonts w:ascii="Arial" w:cs="Arial" w:eastAsia="Arial" w:hAnsi="Arial"/>
          <w:sz w:val="16"/>
          <w:szCs w:val="16"/>
          <w:color w:val="auto"/>
        </w:rPr>
        <w:t>We acquired Pin Oak Creek Energy Center's credit agreement pursuant with Texas Energy Fund (TEF), as lender,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administered by the Public Utility of Texas (PUCT). The loan proceeds are being used to finance eligible costs for the development (as defined in the agreement), construction, and installation of Pin Oak Creek Energy Center in Fairfield, Texas. The loan had outstanding borrowings of $230 million at acquisition. The loan matures October 2045 and bears interest at 3%. As of March 31, 2026, there was $246 million of borrowings outstanding under the loan.</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Calpine Credit Agreements</w:t>
      </w:r>
    </w:p>
    <w:p>
      <w:pPr>
        <w:spacing w:after="0" w:line="1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a result of the acquisition, we acquired Calpine's corporate secured and unsecured letters of credit facilities with capacity totaling $525 million and $200 million, respectively, at the time of acquisition.</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total capacity of assumed project and corporate credit facilities discussed above was approximately $2.3 billion at the time of acquisition, which is reduced by outstanding borrowings under the GPC facility and CDHI Revolver. At the time of acquisition, there were outstanding letters of credit on the assumed facilities of approximately $1.7 billion. See the Credit Facilities table below for additional information on credit facilities associated with these project financing arrangements.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Exchange Offering</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December 2025, we announced that, in connection with the planned acquisition of Calpine by CEG Parent, we commenced private exchange offers and related consent solicitations with respect to certain outstanding debt of Calpine ("Exchange Offers"). Under the Exchange Offers, we solicited consents to holders of certain Calpine debt to amend the notes and the related indentures under which they were issued to eliminate substantially all of the restrictive covenants, restrictive provisions and events of default, other than payment-related and bankruptcy-related events of default. In January 2026, we completed the exchange offering, effectively replacing $2.3 billion of Calpine senior secured and unsecured notes with Constellation senior unsecured notes.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13 — Debt and Credit Agreements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debt issuance under the exchange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3420" w:type="dxa"/>
            <w:vAlign w:val="bottom"/>
            <w:gridSpan w:val="2"/>
          </w:tcPr>
          <w:p>
            <w:pPr>
              <w:ind w:left="1320"/>
              <w:spacing w:after="0"/>
              <w:rPr>
                <w:sz w:val="20"/>
                <w:szCs w:val="20"/>
                <w:color w:val="auto"/>
              </w:rPr>
            </w:pPr>
            <w:r>
              <w:rPr>
                <w:rFonts w:ascii="Arial" w:cs="Arial" w:eastAsia="Arial" w:hAnsi="Arial"/>
                <w:sz w:val="13"/>
                <w:szCs w:val="13"/>
                <w:b w:val="1"/>
                <w:bCs w:val="1"/>
                <w:color w:val="auto"/>
              </w:rPr>
              <w:t>Note</w:t>
            </w:r>
          </w:p>
        </w:tc>
        <w:tc>
          <w:tcPr>
            <w:tcW w:w="2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Interest Rate</w:t>
            </w:r>
          </w:p>
        </w:tc>
        <w:tc>
          <w:tcPr>
            <w:tcW w:w="2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Maturity</w:t>
            </w:r>
          </w:p>
        </w:tc>
        <w:tc>
          <w:tcPr>
            <w:tcW w:w="420" w:type="dxa"/>
            <w:vAlign w:val="bottom"/>
          </w:tcPr>
          <w:p>
            <w:pPr>
              <w:spacing w:after="0"/>
              <w:rPr>
                <w:sz w:val="14"/>
                <w:szCs w:val="14"/>
                <w:color w:val="auto"/>
              </w:rPr>
            </w:pPr>
          </w:p>
        </w:tc>
        <w:tc>
          <w:tcPr>
            <w:tcW w:w="1980" w:type="dxa"/>
            <w:vAlign w:val="bottom"/>
          </w:tcPr>
          <w:p>
            <w:pPr>
              <w:jc w:val="right"/>
              <w:ind w:right="663"/>
              <w:spacing w:after="0"/>
              <w:rPr>
                <w:sz w:val="20"/>
                <w:szCs w:val="20"/>
                <w:color w:val="auto"/>
              </w:rPr>
            </w:pPr>
            <w:r>
              <w:rPr>
                <w:rFonts w:ascii="Arial" w:cs="Arial" w:eastAsia="Arial" w:hAnsi="Arial"/>
                <w:sz w:val="13"/>
                <w:szCs w:val="13"/>
                <w:b w:val="1"/>
                <w:bCs w:val="1"/>
                <w:color w:val="auto"/>
              </w:rPr>
              <w:t>Issued Amount</w:t>
            </w:r>
          </w:p>
        </w:tc>
      </w:tr>
      <w:tr>
        <w:trPr>
          <w:trHeight w:val="22"/>
        </w:trPr>
        <w:tc>
          <w:tcPr>
            <w:tcW w:w="40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6"/>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Senior Unsecured Notes</w:t>
            </w: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4.625%</w:t>
            </w:r>
          </w:p>
        </w:tc>
        <w:tc>
          <w:tcPr>
            <w:tcW w:w="12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February 2029</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647</w:t>
            </w:r>
          </w:p>
        </w:tc>
      </w:tr>
      <w:tr>
        <w:trPr>
          <w:trHeight w:val="242"/>
        </w:trPr>
        <w:tc>
          <w:tcPr>
            <w:tcW w:w="400" w:type="dxa"/>
            <w:vAlign w:val="bottom"/>
          </w:tcPr>
          <w:p>
            <w:pPr>
              <w:ind w:left="20"/>
              <w:spacing w:after="0"/>
              <w:rPr>
                <w:sz w:val="20"/>
                <w:szCs w:val="20"/>
                <w:color w:val="auto"/>
              </w:rPr>
            </w:pPr>
            <w:r>
              <w:rPr>
                <w:rFonts w:ascii="Arial" w:cs="Arial" w:eastAsia="Arial" w:hAnsi="Arial"/>
                <w:sz w:val="16"/>
                <w:szCs w:val="16"/>
                <w:color w:val="auto"/>
              </w:rPr>
              <w:t>2031</w:t>
            </w: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Senior Unsecured Notes</w:t>
            </w:r>
          </w:p>
        </w:tc>
        <w:tc>
          <w:tcPr>
            <w:tcW w:w="2380" w:type="dxa"/>
            <w:vAlign w:val="bottom"/>
          </w:tcPr>
          <w:p>
            <w:pPr>
              <w:jc w:val="center"/>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1"/>
                <w:szCs w:val="21"/>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February 2031</w:t>
            </w:r>
          </w:p>
        </w:tc>
        <w:tc>
          <w:tcPr>
            <w:tcW w:w="420" w:type="dxa"/>
            <w:vAlign w:val="bottom"/>
          </w:tcPr>
          <w:p>
            <w:pPr>
              <w:spacing w:after="0"/>
              <w:rPr>
                <w:sz w:val="21"/>
                <w:szCs w:val="21"/>
                <w:color w:val="auto"/>
              </w:rPr>
            </w:pPr>
          </w:p>
        </w:tc>
        <w:tc>
          <w:tcPr>
            <w:tcW w:w="1980" w:type="dxa"/>
            <w:vAlign w:val="bottom"/>
          </w:tcPr>
          <w:p>
            <w:pPr>
              <w:jc w:val="right"/>
              <w:ind w:right="3"/>
              <w:spacing w:after="0"/>
              <w:rPr>
                <w:sz w:val="20"/>
                <w:szCs w:val="20"/>
                <w:color w:val="auto"/>
              </w:rPr>
            </w:pPr>
            <w:r>
              <w:rPr>
                <w:rFonts w:ascii="Arial" w:cs="Arial" w:eastAsia="Arial" w:hAnsi="Arial"/>
                <w:sz w:val="16"/>
                <w:szCs w:val="16"/>
                <w:color w:val="auto"/>
              </w:rPr>
              <w:t>848</w:t>
            </w:r>
          </w:p>
        </w:tc>
      </w:tr>
      <w:tr>
        <w:trPr>
          <w:trHeight w:val="243"/>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2031</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Notes</w:t>
            </w: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3.750%</w:t>
            </w:r>
          </w:p>
        </w:tc>
        <w:tc>
          <w:tcPr>
            <w:tcW w:w="120" w:type="dxa"/>
            <w:vAlign w:val="bottom"/>
            <w:shd w:val="clear" w:color="auto" w:fill="CCEEFF"/>
          </w:tcPr>
          <w:p>
            <w:pPr>
              <w:spacing w:after="0"/>
              <w:rPr>
                <w:sz w:val="21"/>
                <w:szCs w:val="21"/>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March 2031</w:t>
            </w:r>
          </w:p>
        </w:tc>
        <w:tc>
          <w:tcPr>
            <w:tcW w:w="42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795</w:t>
            </w:r>
          </w:p>
        </w:tc>
      </w:tr>
      <w:tr>
        <w:trPr>
          <w:trHeight w:val="237"/>
        </w:trPr>
        <w:tc>
          <w:tcPr>
            <w:tcW w:w="400" w:type="dxa"/>
            <w:vAlign w:val="bottom"/>
          </w:tcPr>
          <w:p>
            <w:pPr>
              <w:ind w:left="20"/>
              <w:spacing w:after="0"/>
              <w:rPr>
                <w:sz w:val="20"/>
                <w:szCs w:val="20"/>
                <w:color w:val="auto"/>
              </w:rPr>
            </w:pPr>
            <w:r>
              <w:rPr>
                <w:rFonts w:ascii="Arial" w:cs="Arial" w:eastAsia="Arial" w:hAnsi="Arial"/>
                <w:sz w:val="16"/>
                <w:szCs w:val="16"/>
                <w:color w:val="auto"/>
              </w:rPr>
              <w:t>Total</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2,290</w:t>
            </w:r>
          </w:p>
        </w:tc>
      </w:tr>
      <w:tr>
        <w:trPr>
          <w:trHeight w:val="21"/>
        </w:trPr>
        <w:tc>
          <w:tcPr>
            <w:tcW w:w="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Note Issuance</w:t>
      </w:r>
    </w:p>
    <w:p>
      <w:pPr>
        <w:spacing w:after="0" w:line="1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In January 2026, we issued senior unsecured notes totaling $2.75 billion, the proceeds from which were used to pay down Calpine debt assumed. The terms of the debt issuance are reflected in the Debt Issuances and Redemptions table below.</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Debt Summary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outstanding long-term debt, as of March 31, 2026 and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2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Rates</w:t>
            </w:r>
          </w:p>
        </w:tc>
        <w:tc>
          <w:tcPr>
            <w:tcW w:w="1800" w:type="dxa"/>
            <w:vAlign w:val="bottom"/>
            <w:gridSpan w:val="2"/>
          </w:tcPr>
          <w:p>
            <w:pPr>
              <w:ind w:left="440"/>
              <w:spacing w:after="0"/>
              <w:rPr>
                <w:sz w:val="20"/>
                <w:szCs w:val="20"/>
                <w:color w:val="auto"/>
              </w:rPr>
            </w:pPr>
            <w:r>
              <w:rPr>
                <w:rFonts w:ascii="Arial" w:cs="Arial" w:eastAsia="Arial" w:hAnsi="Arial"/>
                <w:sz w:val="13"/>
                <w:szCs w:val="13"/>
                <w:b w:val="1"/>
                <w:bCs w:val="1"/>
                <w:color w:val="auto"/>
              </w:rPr>
              <w:t>Maturity Date</w:t>
            </w:r>
          </w:p>
        </w:tc>
        <w:tc>
          <w:tcPr>
            <w:tcW w:w="26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2026</w:t>
            </w:r>
          </w:p>
        </w:tc>
        <w:tc>
          <w:tcPr>
            <w:tcW w:w="200" w:type="dxa"/>
            <w:vAlign w:val="bottom"/>
          </w:tcPr>
          <w:p>
            <w:pPr>
              <w:spacing w:after="0"/>
              <w:rPr>
                <w:sz w:val="14"/>
                <w:szCs w:val="14"/>
                <w:color w:val="auto"/>
              </w:rPr>
            </w:pPr>
          </w:p>
        </w:tc>
        <w:tc>
          <w:tcPr>
            <w:tcW w:w="1520" w:type="dxa"/>
            <w:vAlign w:val="bottom"/>
          </w:tcPr>
          <w:p>
            <w:pPr>
              <w:jc w:val="right"/>
              <w:ind w:right="221"/>
              <w:spacing w:after="0"/>
              <w:rPr>
                <w:sz w:val="20"/>
                <w:szCs w:val="20"/>
                <w:color w:val="auto"/>
              </w:rPr>
            </w:pPr>
            <w:r>
              <w:rPr>
                <w:rFonts w:ascii="Arial" w:cs="Arial" w:eastAsia="Arial" w:hAnsi="Arial"/>
                <w:sz w:val="13"/>
                <w:szCs w:val="13"/>
                <w:b w:val="1"/>
                <w:bCs w:val="1"/>
                <w:color w:val="auto"/>
              </w:rPr>
              <w:t>December 31, 2025</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6"/>
                <w:szCs w:val="16"/>
                <w:color w:val="auto"/>
              </w:rPr>
              <w:t>Senior unsecured notes</w:t>
            </w:r>
            <w:r>
              <w:rPr>
                <w:rFonts w:ascii="Arial" w:cs="Arial" w:eastAsia="Arial" w:hAnsi="Arial"/>
                <w:sz w:val="21"/>
                <w:szCs w:val="21"/>
                <w:color w:val="auto"/>
                <w:vertAlign w:val="superscript"/>
              </w:rPr>
              <w:t>(a)(b)</w:t>
            </w:r>
          </w:p>
        </w:tc>
        <w:tc>
          <w:tcPr>
            <w:tcW w:w="1660" w:type="dxa"/>
            <w:vAlign w:val="bottom"/>
          </w:tcPr>
          <w:p>
            <w:pPr>
              <w:jc w:val="center"/>
              <w:spacing w:after="0"/>
              <w:rPr>
                <w:sz w:val="20"/>
                <w:szCs w:val="20"/>
                <w:color w:val="auto"/>
              </w:rPr>
            </w:pPr>
            <w:r>
              <w:rPr>
                <w:rFonts w:ascii="Arial" w:cs="Arial" w:eastAsia="Arial" w:hAnsi="Arial"/>
                <w:sz w:val="16"/>
                <w:szCs w:val="16"/>
                <w:color w:val="auto"/>
              </w:rPr>
              <w:t>3.75% - 6.50%</w:t>
            </w:r>
          </w:p>
        </w:tc>
        <w:tc>
          <w:tcPr>
            <w:tcW w:w="120" w:type="dxa"/>
            <w:vAlign w:val="bottom"/>
          </w:tcPr>
          <w:p>
            <w:pPr>
              <w:spacing w:after="0"/>
              <w:rPr>
                <w:sz w:val="21"/>
                <w:szCs w:val="21"/>
                <w:color w:val="auto"/>
              </w:rPr>
            </w:pPr>
          </w:p>
        </w:tc>
        <w:tc>
          <w:tcPr>
            <w:tcW w:w="1680" w:type="dxa"/>
            <w:vAlign w:val="bottom"/>
          </w:tcPr>
          <w:p>
            <w:pPr>
              <w:jc w:val="right"/>
              <w:ind w:right="702"/>
              <w:spacing w:after="0"/>
              <w:rPr>
                <w:sz w:val="20"/>
                <w:szCs w:val="20"/>
                <w:color w:val="auto"/>
              </w:rPr>
            </w:pPr>
            <w:r>
              <w:rPr>
                <w:rFonts w:ascii="Arial" w:cs="Arial" w:eastAsia="Arial" w:hAnsi="Arial"/>
                <w:sz w:val="16"/>
                <w:szCs w:val="16"/>
                <w:color w:val="auto"/>
              </w:rPr>
              <w:t>2028 - 2066</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10,833</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5,688</w:t>
            </w:r>
          </w:p>
        </w:tc>
      </w:tr>
      <w:tr>
        <w:trPr>
          <w:trHeight w:val="243"/>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Tax-exempt notes</w:t>
            </w:r>
            <w:r>
              <w:rPr>
                <w:rFonts w:ascii="Arial" w:cs="Arial" w:eastAsia="Arial" w:hAnsi="Arial"/>
                <w:sz w:val="21"/>
                <w:szCs w:val="21"/>
                <w:color w:val="auto"/>
                <w:vertAlign w:val="superscript"/>
              </w:rPr>
              <w:t>(c)</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4.10% - 4.45%</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rPr>
              <w:t>2029 - 2053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412</w:t>
            </w:r>
          </w:p>
        </w:tc>
      </w:tr>
      <w:tr>
        <w:trPr>
          <w:trHeight w:val="235"/>
        </w:trPr>
        <w:tc>
          <w:tcPr>
            <w:tcW w:w="4120" w:type="dxa"/>
            <w:vAlign w:val="bottom"/>
          </w:tcPr>
          <w:p>
            <w:pPr>
              <w:ind w:left="360"/>
              <w:spacing w:after="0"/>
              <w:rPr>
                <w:sz w:val="20"/>
                <w:szCs w:val="20"/>
                <w:color w:val="auto"/>
              </w:rPr>
            </w:pPr>
            <w:r>
              <w:rPr>
                <w:rFonts w:ascii="Arial" w:cs="Arial" w:eastAsia="Arial" w:hAnsi="Arial"/>
                <w:sz w:val="16"/>
                <w:szCs w:val="16"/>
                <w:color w:val="auto"/>
              </w:rPr>
              <w:t>Notes payable and other</w:t>
            </w:r>
          </w:p>
        </w:tc>
        <w:tc>
          <w:tcPr>
            <w:tcW w:w="1660" w:type="dxa"/>
            <w:vAlign w:val="bottom"/>
          </w:tcPr>
          <w:p>
            <w:pPr>
              <w:jc w:val="center"/>
              <w:spacing w:after="0"/>
              <w:rPr>
                <w:sz w:val="20"/>
                <w:szCs w:val="20"/>
                <w:color w:val="auto"/>
              </w:rPr>
            </w:pPr>
            <w:r>
              <w:rPr>
                <w:rFonts w:ascii="Arial" w:cs="Arial" w:eastAsia="Arial" w:hAnsi="Arial"/>
                <w:sz w:val="16"/>
                <w:szCs w:val="16"/>
                <w:color w:val="auto"/>
              </w:rPr>
              <w:t>1.71% - 8.18%</w:t>
            </w:r>
          </w:p>
        </w:tc>
        <w:tc>
          <w:tcPr>
            <w:tcW w:w="120" w:type="dxa"/>
            <w:vAlign w:val="bottom"/>
          </w:tcPr>
          <w:p>
            <w:pPr>
              <w:spacing w:after="0"/>
              <w:rPr>
                <w:sz w:val="20"/>
                <w:szCs w:val="20"/>
                <w:color w:val="auto"/>
              </w:rPr>
            </w:pPr>
          </w:p>
        </w:tc>
        <w:tc>
          <w:tcPr>
            <w:tcW w:w="1680" w:type="dxa"/>
            <w:vAlign w:val="bottom"/>
          </w:tcPr>
          <w:p>
            <w:pPr>
              <w:jc w:val="right"/>
              <w:ind w:right="702"/>
              <w:spacing w:after="0"/>
              <w:rPr>
                <w:sz w:val="20"/>
                <w:szCs w:val="20"/>
                <w:color w:val="auto"/>
              </w:rPr>
            </w:pPr>
            <w:r>
              <w:rPr>
                <w:rFonts w:ascii="Arial" w:cs="Arial" w:eastAsia="Arial" w:hAnsi="Arial"/>
                <w:sz w:val="16"/>
                <w:szCs w:val="16"/>
                <w:color w:val="auto"/>
              </w:rPr>
              <w:t>2026 - 2035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53</w:t>
            </w:r>
          </w:p>
        </w:tc>
      </w:tr>
      <w:tr>
        <w:trPr>
          <w:trHeight w:val="251"/>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Project finance:</w:t>
            </w:r>
            <w:r>
              <w:rPr>
                <w:rFonts w:ascii="Arial" w:cs="Arial" w:eastAsia="Arial" w:hAnsi="Arial"/>
                <w:sz w:val="21"/>
                <w:szCs w:val="21"/>
                <w:color w:val="auto"/>
                <w:vertAlign w:val="superscript"/>
              </w:rPr>
              <w:t>(b)</w:t>
            </w: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5"/>
        </w:trPr>
        <w:tc>
          <w:tcPr>
            <w:tcW w:w="4120" w:type="dxa"/>
            <w:vAlign w:val="bottom"/>
          </w:tcPr>
          <w:p>
            <w:pPr>
              <w:ind w:left="680"/>
              <w:spacing w:after="0"/>
              <w:rPr>
                <w:sz w:val="20"/>
                <w:szCs w:val="20"/>
                <w:color w:val="auto"/>
              </w:rPr>
            </w:pPr>
            <w:r>
              <w:rPr>
                <w:rFonts w:ascii="Arial" w:cs="Arial" w:eastAsia="Arial" w:hAnsi="Arial"/>
                <w:sz w:val="16"/>
                <w:szCs w:val="16"/>
                <w:color w:val="auto"/>
              </w:rPr>
              <w:t>Variable rates</w:t>
            </w:r>
          </w:p>
        </w:tc>
        <w:tc>
          <w:tcPr>
            <w:tcW w:w="1660" w:type="dxa"/>
            <w:vAlign w:val="bottom"/>
          </w:tcPr>
          <w:p>
            <w:pPr>
              <w:jc w:val="center"/>
              <w:spacing w:after="0"/>
              <w:rPr>
                <w:sz w:val="20"/>
                <w:szCs w:val="20"/>
                <w:color w:val="auto"/>
              </w:rPr>
            </w:pPr>
            <w:r>
              <w:rPr>
                <w:rFonts w:ascii="Arial" w:cs="Arial" w:eastAsia="Arial" w:hAnsi="Arial"/>
                <w:sz w:val="16"/>
                <w:szCs w:val="16"/>
                <w:color w:val="auto"/>
              </w:rPr>
              <w:t>4.13% - 5.98%</w:t>
            </w:r>
          </w:p>
        </w:tc>
        <w:tc>
          <w:tcPr>
            <w:tcW w:w="120" w:type="dxa"/>
            <w:vAlign w:val="bottom"/>
          </w:tcPr>
          <w:p>
            <w:pPr>
              <w:spacing w:after="0"/>
              <w:rPr>
                <w:sz w:val="20"/>
                <w:szCs w:val="20"/>
                <w:color w:val="auto"/>
              </w:rPr>
            </w:pPr>
          </w:p>
        </w:tc>
        <w:tc>
          <w:tcPr>
            <w:tcW w:w="1680" w:type="dxa"/>
            <w:vAlign w:val="bottom"/>
          </w:tcPr>
          <w:p>
            <w:pPr>
              <w:jc w:val="right"/>
              <w:ind w:right="702"/>
              <w:spacing w:after="0"/>
              <w:rPr>
                <w:sz w:val="20"/>
                <w:szCs w:val="20"/>
                <w:color w:val="auto"/>
              </w:rPr>
            </w:pPr>
            <w:r>
              <w:rPr>
                <w:rFonts w:ascii="Arial" w:cs="Arial" w:eastAsia="Arial" w:hAnsi="Arial"/>
                <w:sz w:val="16"/>
                <w:szCs w:val="16"/>
                <w:color w:val="auto"/>
              </w:rPr>
              <w:t>2027 - 2030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5,274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597</w:t>
            </w:r>
          </w:p>
        </w:tc>
      </w:tr>
      <w:tr>
        <w:trPr>
          <w:trHeight w:val="251"/>
        </w:trPr>
        <w:tc>
          <w:tcPr>
            <w:tcW w:w="41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rates</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2.29% - 8.64%</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rPr>
              <w:t>2031 - 2048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653</w:t>
            </w:r>
          </w:p>
        </w:tc>
      </w:tr>
      <w:tr>
        <w:trPr>
          <w:trHeight w:val="229"/>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17,480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7,403</w:t>
            </w:r>
          </w:p>
        </w:tc>
      </w:tr>
      <w:tr>
        <w:trPr>
          <w:trHeight w:val="251"/>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Unamortized debt discount and premium, net</w:t>
            </w: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4120" w:type="dxa"/>
            <w:vAlign w:val="bottom"/>
          </w:tcPr>
          <w:p>
            <w:pPr>
              <w:ind w:left="360"/>
              <w:spacing w:after="0"/>
              <w:rPr>
                <w:sz w:val="20"/>
                <w:szCs w:val="20"/>
                <w:color w:val="auto"/>
              </w:rPr>
            </w:pPr>
            <w:r>
              <w:rPr>
                <w:rFonts w:ascii="Arial" w:cs="Arial" w:eastAsia="Arial" w:hAnsi="Arial"/>
                <w:sz w:val="16"/>
                <w:szCs w:val="16"/>
                <w:color w:val="auto"/>
              </w:rPr>
              <w:t>Unamortized fair value of debt</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51"/>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Unamortized debt issuance costs</w:t>
            </w: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37"/>
        </w:trPr>
        <w:tc>
          <w:tcPr>
            <w:tcW w:w="41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Long-term debt due within one year</w:t>
            </w:r>
          </w:p>
        </w:tc>
        <w:tc>
          <w:tcPr>
            <w:tcW w:w="1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6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w:t>
            </w: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7,250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15"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January 2026 debt issuance of $2.75 billion and exchanged debt of $2.3 billion.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debt assumed in acquisition of Calpine.</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Tax-exempt notes have a maturity date of June 2029 to April 2053, and a mandatory purchase date that ranges from April 2028 to June 2029.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13 — Debt and Credit Agreements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Issuances and Redemptions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2026, the following long-term debt was issued (redeemed):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ind w:left="1860"/>
              <w:spacing w:after="0"/>
              <w:rPr>
                <w:sz w:val="20"/>
                <w:szCs w:val="20"/>
                <w:color w:val="auto"/>
              </w:rPr>
            </w:pPr>
            <w:r>
              <w:rPr>
                <w:rFonts w:ascii="Arial" w:cs="Arial" w:eastAsia="Arial" w:hAnsi="Arial"/>
                <w:sz w:val="13"/>
                <w:szCs w:val="13"/>
                <w:b w:val="1"/>
                <w:bCs w:val="1"/>
                <w:color w:val="auto"/>
              </w:rPr>
              <w:t>Type</w:t>
            </w:r>
            <w:r>
              <w:rPr>
                <w:rFonts w:ascii="Arial" w:cs="Arial" w:eastAsia="Arial" w:hAnsi="Arial"/>
                <w:sz w:val="16"/>
                <w:szCs w:val="16"/>
                <w:b w:val="1"/>
                <w:bCs w:val="1"/>
                <w:color w:val="auto"/>
                <w:vertAlign w:val="superscript"/>
              </w:rPr>
              <w:t>(a)</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right"/>
              <w:ind w:right="800"/>
              <w:spacing w:after="0"/>
              <w:rPr>
                <w:sz w:val="20"/>
                <w:szCs w:val="20"/>
                <w:color w:val="auto"/>
              </w:rPr>
            </w:pPr>
            <w:r>
              <w:rPr>
                <w:rFonts w:ascii="Arial" w:cs="Arial" w:eastAsia="Arial" w:hAnsi="Arial"/>
                <w:sz w:val="13"/>
                <w:szCs w:val="13"/>
                <w:b w:val="1"/>
                <w:bCs w:val="1"/>
                <w:color w:val="auto"/>
              </w:rPr>
              <w:t>Interest Rate</w:t>
            </w:r>
          </w:p>
        </w:tc>
        <w:tc>
          <w:tcPr>
            <w:tcW w:w="12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Maturity</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Amount</w:t>
            </w:r>
          </w:p>
        </w:tc>
      </w:tr>
      <w:tr>
        <w:trPr>
          <w:trHeight w:val="237"/>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4600" w:type="dxa"/>
            <w:vAlign w:val="bottom"/>
            <w:gridSpan w:val="2"/>
            <w:shd w:val="clear" w:color="auto" w:fill="CCEEFF"/>
          </w:tcPr>
          <w:p>
            <w:pPr>
              <w:ind w:left="40"/>
              <w:spacing w:after="0" w:line="237" w:lineRule="exact"/>
              <w:rPr>
                <w:sz w:val="20"/>
                <w:szCs w:val="20"/>
                <w:color w:val="auto"/>
              </w:rPr>
            </w:pPr>
            <w:r>
              <w:rPr>
                <w:rFonts w:ascii="Arial" w:cs="Arial" w:eastAsia="Arial" w:hAnsi="Arial"/>
                <w:sz w:val="16"/>
                <w:szCs w:val="16"/>
                <w:color w:val="auto"/>
              </w:rPr>
              <w:t>Senior Notes</w:t>
            </w:r>
            <w:r>
              <w:rPr>
                <w:rFonts w:ascii="Arial" w:cs="Arial" w:eastAsia="Arial" w:hAnsi="Arial"/>
                <w:sz w:val="21"/>
                <w:szCs w:val="21"/>
                <w:color w:val="auto"/>
                <w:vertAlign w:val="superscript"/>
              </w:rPr>
              <w:t>(b)</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2028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43"/>
        </w:trPr>
        <w:tc>
          <w:tcPr>
            <w:tcW w:w="400" w:type="dxa"/>
            <w:vAlign w:val="bottom"/>
          </w:tcPr>
          <w:p>
            <w:pPr>
              <w:ind w:left="20"/>
              <w:spacing w:after="0"/>
              <w:rPr>
                <w:sz w:val="20"/>
                <w:szCs w:val="20"/>
                <w:color w:val="auto"/>
              </w:rPr>
            </w:pPr>
            <w:r>
              <w:rPr>
                <w:rFonts w:ascii="Arial" w:cs="Arial" w:eastAsia="Arial" w:hAnsi="Arial"/>
                <w:sz w:val="16"/>
                <w:szCs w:val="16"/>
                <w:color w:val="auto"/>
              </w:rPr>
              <w:t>2066</w:t>
            </w:r>
          </w:p>
        </w:tc>
        <w:tc>
          <w:tcPr>
            <w:tcW w:w="4600" w:type="dxa"/>
            <w:vAlign w:val="bottom"/>
            <w:gridSpan w:val="2"/>
          </w:tcPr>
          <w:p>
            <w:pPr>
              <w:ind w:left="40"/>
              <w:spacing w:after="0"/>
              <w:rPr>
                <w:sz w:val="20"/>
                <w:szCs w:val="20"/>
                <w:color w:val="auto"/>
              </w:rPr>
            </w:pPr>
            <w:r>
              <w:rPr>
                <w:rFonts w:ascii="Arial" w:cs="Arial" w:eastAsia="Arial" w:hAnsi="Arial"/>
                <w:sz w:val="16"/>
                <w:szCs w:val="16"/>
                <w:color w:val="auto"/>
              </w:rPr>
              <w:t>Senior Notes</w:t>
            </w:r>
            <w:r>
              <w:rPr>
                <w:rFonts w:ascii="Arial" w:cs="Arial" w:eastAsia="Arial" w:hAnsi="Arial"/>
                <w:sz w:val="21"/>
                <w:szCs w:val="21"/>
                <w:color w:val="auto"/>
                <w:vertAlign w:val="superscript"/>
              </w:rPr>
              <w:t>(b)</w:t>
            </w:r>
          </w:p>
        </w:tc>
        <w:tc>
          <w:tcPr>
            <w:tcW w:w="2520" w:type="dxa"/>
            <w:vAlign w:val="bottom"/>
          </w:tcPr>
          <w:p>
            <w:pPr>
              <w:jc w:val="right"/>
              <w:spacing w:after="0"/>
              <w:rPr>
                <w:sz w:val="20"/>
                <w:szCs w:val="20"/>
                <w:color w:val="auto"/>
              </w:rPr>
            </w:pPr>
            <w:r>
              <w:rPr>
                <w:rFonts w:ascii="Arial" w:cs="Arial" w:eastAsia="Arial" w:hAnsi="Arial"/>
                <w:sz w:val="16"/>
                <w:szCs w:val="16"/>
                <w:color w:val="auto"/>
              </w:rPr>
              <w:t>5.875%</w:t>
            </w:r>
          </w:p>
        </w:tc>
        <w:tc>
          <w:tcPr>
            <w:tcW w:w="120" w:type="dxa"/>
            <w:vAlign w:val="bottom"/>
          </w:tcPr>
          <w:p>
            <w:pPr>
              <w:spacing w:after="0"/>
              <w:rPr>
                <w:sz w:val="21"/>
                <w:szCs w:val="21"/>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color w:val="auto"/>
              </w:rPr>
              <w:t>January 2066</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43"/>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2031</w:t>
            </w:r>
          </w:p>
        </w:tc>
        <w:tc>
          <w:tcPr>
            <w:tcW w:w="4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Senior Notes</w:t>
            </w:r>
            <w:r>
              <w:rPr>
                <w:rFonts w:ascii="Arial" w:cs="Arial" w:eastAsia="Arial" w:hAnsi="Arial"/>
                <w:sz w:val="21"/>
                <w:szCs w:val="21"/>
                <w:color w:val="auto"/>
                <w:vertAlign w:val="superscript"/>
              </w:rPr>
              <w:t>(b)</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2031</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43"/>
        </w:trPr>
        <w:tc>
          <w:tcPr>
            <w:tcW w:w="400" w:type="dxa"/>
            <w:vAlign w:val="bottom"/>
          </w:tcPr>
          <w:p>
            <w:pPr>
              <w:ind w:left="20"/>
              <w:spacing w:after="0"/>
              <w:rPr>
                <w:sz w:val="20"/>
                <w:szCs w:val="20"/>
                <w:color w:val="auto"/>
              </w:rPr>
            </w:pPr>
            <w:r>
              <w:rPr>
                <w:rFonts w:ascii="Arial" w:cs="Arial" w:eastAsia="Arial" w:hAnsi="Arial"/>
                <w:sz w:val="16"/>
                <w:szCs w:val="16"/>
                <w:color w:val="auto"/>
              </w:rPr>
              <w:t>2028</w:t>
            </w:r>
          </w:p>
        </w:tc>
        <w:tc>
          <w:tcPr>
            <w:tcW w:w="4600" w:type="dxa"/>
            <w:vAlign w:val="bottom"/>
            <w:gridSpan w:val="2"/>
          </w:tcPr>
          <w:p>
            <w:pPr>
              <w:ind w:left="40"/>
              <w:spacing w:after="0"/>
              <w:rPr>
                <w:sz w:val="20"/>
                <w:szCs w:val="20"/>
                <w:color w:val="auto"/>
              </w:rPr>
            </w:pPr>
            <w:r>
              <w:rPr>
                <w:rFonts w:ascii="Arial" w:cs="Arial" w:eastAsia="Arial" w:hAnsi="Arial"/>
                <w:sz w:val="16"/>
                <w:szCs w:val="16"/>
                <w:color w:val="auto"/>
              </w:rPr>
              <w:t>Floating Rate Senior Notes</w:t>
            </w:r>
            <w:r>
              <w:rPr>
                <w:rFonts w:ascii="Arial" w:cs="Arial" w:eastAsia="Arial" w:hAnsi="Arial"/>
                <w:sz w:val="21"/>
                <w:szCs w:val="21"/>
                <w:color w:val="auto"/>
                <w:vertAlign w:val="superscript"/>
              </w:rPr>
              <w:t>(b)</w:t>
            </w:r>
          </w:p>
        </w:tc>
        <w:tc>
          <w:tcPr>
            <w:tcW w:w="2640" w:type="dxa"/>
            <w:vAlign w:val="bottom"/>
            <w:gridSpan w:val="2"/>
          </w:tcPr>
          <w:p>
            <w:pPr>
              <w:jc w:val="right"/>
              <w:ind w:right="140"/>
              <w:spacing w:after="0"/>
              <w:rPr>
                <w:sz w:val="20"/>
                <w:szCs w:val="20"/>
                <w:color w:val="auto"/>
              </w:rPr>
            </w:pPr>
            <w:r>
              <w:rPr>
                <w:rFonts w:ascii="Arial" w:cs="Arial" w:eastAsia="Arial" w:hAnsi="Arial"/>
                <w:sz w:val="16"/>
                <w:szCs w:val="16"/>
                <w:color w:val="auto"/>
              </w:rPr>
              <w:t>SOFR + 0.60%</w:t>
            </w: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color w:val="auto"/>
              </w:rPr>
              <w:t>January 2028</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43"/>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Pin Oak Creek Energy Center</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October 2045</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5000" w:type="dxa"/>
            <w:vAlign w:val="bottom"/>
            <w:gridSpan w:val="3"/>
          </w:tcPr>
          <w:p>
            <w:pPr>
              <w:ind w:left="20"/>
              <w:spacing w:after="0"/>
              <w:rPr>
                <w:sz w:val="20"/>
                <w:szCs w:val="20"/>
                <w:color w:val="auto"/>
              </w:rPr>
            </w:pPr>
            <w:r>
              <w:rPr>
                <w:rFonts w:ascii="Arial" w:cs="Arial" w:eastAsia="Arial" w:hAnsi="Arial"/>
                <w:sz w:val="16"/>
                <w:szCs w:val="16"/>
                <w:color w:val="auto"/>
              </w:rPr>
              <w:t>Energy Efficiency Project Financing</w:t>
            </w:r>
            <w:r>
              <w:rPr>
                <w:rFonts w:ascii="Arial" w:cs="Arial" w:eastAsia="Arial" w:hAnsi="Arial"/>
                <w:sz w:val="21"/>
                <w:szCs w:val="21"/>
                <w:color w:val="auto"/>
                <w:vertAlign w:val="superscript"/>
              </w:rPr>
              <w:t>(c)</w:t>
            </w:r>
          </w:p>
        </w:tc>
        <w:tc>
          <w:tcPr>
            <w:tcW w:w="2520" w:type="dxa"/>
            <w:vAlign w:val="bottom"/>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21"/>
                <w:szCs w:val="21"/>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2030</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RPG Nonrecourse Debt</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March 2035</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5"/>
        </w:trPr>
        <w:tc>
          <w:tcPr>
            <w:tcW w:w="400" w:type="dxa"/>
            <w:vAlign w:val="bottom"/>
          </w:tcPr>
          <w:p>
            <w:pPr>
              <w:ind w:left="20"/>
              <w:spacing w:after="0"/>
              <w:rPr>
                <w:sz w:val="20"/>
                <w:szCs w:val="20"/>
                <w:color w:val="auto"/>
              </w:rPr>
            </w:pPr>
            <w:r>
              <w:rPr>
                <w:rFonts w:ascii="Arial" w:cs="Arial" w:eastAsia="Arial" w:hAnsi="Arial"/>
                <w:sz w:val="16"/>
                <w:szCs w:val="16"/>
                <w:color w:val="auto"/>
              </w:rPr>
              <w:t>2031</w:t>
            </w:r>
          </w:p>
        </w:tc>
        <w:tc>
          <w:tcPr>
            <w:tcW w:w="4600" w:type="dxa"/>
            <w:vAlign w:val="bottom"/>
            <w:gridSpan w:val="2"/>
          </w:tcPr>
          <w:p>
            <w:pPr>
              <w:ind w:left="40"/>
              <w:spacing w:after="0"/>
              <w:rPr>
                <w:sz w:val="20"/>
                <w:szCs w:val="20"/>
                <w:color w:val="auto"/>
              </w:rPr>
            </w:pPr>
            <w:r>
              <w:rPr>
                <w:rFonts w:ascii="Arial" w:cs="Arial" w:eastAsia="Arial" w:hAnsi="Arial"/>
                <w:sz w:val="16"/>
                <w:szCs w:val="16"/>
                <w:color w:val="auto"/>
              </w:rPr>
              <w:t>Unsecured Notes</w:t>
            </w:r>
          </w:p>
        </w:tc>
        <w:tc>
          <w:tcPr>
            <w:tcW w:w="25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6"/>
                <w:szCs w:val="16"/>
                <w:color w:val="auto"/>
              </w:rPr>
              <w:t>August 2031</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1"/>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4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Unsecured Notes</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w:t>
            </w:r>
          </w:p>
        </w:tc>
        <w:tc>
          <w:tcPr>
            <w:tcW w:w="12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August 2029</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5000" w:type="dxa"/>
            <w:vAlign w:val="bottom"/>
            <w:gridSpan w:val="3"/>
          </w:tcPr>
          <w:p>
            <w:pPr>
              <w:ind w:left="20"/>
              <w:spacing w:after="0"/>
              <w:rPr>
                <w:sz w:val="20"/>
                <w:szCs w:val="20"/>
                <w:color w:val="auto"/>
              </w:rPr>
            </w:pPr>
            <w:r>
              <w:rPr>
                <w:rFonts w:ascii="Arial" w:cs="Arial" w:eastAsia="Arial" w:hAnsi="Arial"/>
                <w:sz w:val="16"/>
                <w:szCs w:val="16"/>
                <w:color w:val="auto"/>
              </w:rPr>
              <w:t>Antelope Valley DOE Nonrecourse Debt</w:t>
            </w:r>
          </w:p>
        </w:tc>
        <w:tc>
          <w:tcPr>
            <w:tcW w:w="2520" w:type="dxa"/>
            <w:vAlign w:val="bottom"/>
          </w:tcPr>
          <w:p>
            <w:pPr>
              <w:jc w:val="right"/>
              <w:spacing w:after="0"/>
              <w:rPr>
                <w:sz w:val="20"/>
                <w:szCs w:val="20"/>
                <w:color w:val="auto"/>
              </w:rPr>
            </w:pPr>
            <w:r>
              <w:rPr>
                <w:rFonts w:ascii="Arial" w:cs="Arial" w:eastAsia="Arial" w:hAnsi="Arial"/>
                <w:sz w:val="16"/>
                <w:szCs w:val="16"/>
                <w:color w:val="auto"/>
              </w:rPr>
              <w:t>2.29% - 3.56%</w:t>
            </w:r>
          </w:p>
        </w:tc>
        <w:tc>
          <w:tcPr>
            <w:tcW w:w="120" w:type="dxa"/>
            <w:vAlign w:val="bottom"/>
          </w:tcPr>
          <w:p>
            <w:pPr>
              <w:spacing w:after="0"/>
              <w:rPr>
                <w:sz w:val="20"/>
                <w:szCs w:val="20"/>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color w:val="auto"/>
              </w:rPr>
              <w:t>January 2037</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1"/>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Greenfield</w:t>
            </w: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CORRA + 1.875%</w:t>
            </w: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2030</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5"/>
        </w:trPr>
        <w:tc>
          <w:tcPr>
            <w:tcW w:w="5000" w:type="dxa"/>
            <w:vAlign w:val="bottom"/>
            <w:gridSpan w:val="3"/>
          </w:tcPr>
          <w:p>
            <w:pPr>
              <w:ind w:left="20"/>
              <w:spacing w:after="0"/>
              <w:rPr>
                <w:sz w:val="20"/>
                <w:szCs w:val="20"/>
                <w:color w:val="auto"/>
              </w:rPr>
            </w:pPr>
            <w:r>
              <w:rPr>
                <w:rFonts w:ascii="Arial" w:cs="Arial" w:eastAsia="Arial" w:hAnsi="Arial"/>
                <w:sz w:val="16"/>
                <w:szCs w:val="16"/>
                <w:color w:val="auto"/>
              </w:rPr>
              <w:t>Nova Power</w:t>
            </w:r>
          </w:p>
        </w:tc>
        <w:tc>
          <w:tcPr>
            <w:tcW w:w="2640" w:type="dxa"/>
            <w:vAlign w:val="bottom"/>
            <w:gridSpan w:val="2"/>
          </w:tcPr>
          <w:p>
            <w:pPr>
              <w:jc w:val="right"/>
              <w:ind w:right="140"/>
              <w:spacing w:after="0"/>
              <w:rPr>
                <w:sz w:val="20"/>
                <w:szCs w:val="20"/>
                <w:color w:val="auto"/>
              </w:rPr>
            </w:pPr>
            <w:r>
              <w:rPr>
                <w:rFonts w:ascii="Arial" w:cs="Arial" w:eastAsia="Arial" w:hAnsi="Arial"/>
                <w:sz w:val="16"/>
                <w:szCs w:val="16"/>
                <w:color w:val="auto"/>
              </w:rPr>
              <w:t>SOFR + 1.75%</w:t>
            </w:r>
          </w:p>
        </w:tc>
        <w:tc>
          <w:tcPr>
            <w:tcW w:w="22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March 2028</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1"/>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Calpine Development Holdings</w:t>
            </w: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SOFR + 2.25%</w:t>
            </w: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March 2028</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5"/>
        </w:trPr>
        <w:tc>
          <w:tcPr>
            <w:tcW w:w="5000" w:type="dxa"/>
            <w:vAlign w:val="bottom"/>
            <w:gridSpan w:val="3"/>
          </w:tcPr>
          <w:p>
            <w:pPr>
              <w:ind w:left="20"/>
              <w:spacing w:after="0"/>
              <w:rPr>
                <w:sz w:val="20"/>
                <w:szCs w:val="20"/>
                <w:color w:val="auto"/>
              </w:rPr>
            </w:pPr>
            <w:r>
              <w:rPr>
                <w:rFonts w:ascii="Arial" w:cs="Arial" w:eastAsia="Arial" w:hAnsi="Arial"/>
                <w:sz w:val="16"/>
                <w:szCs w:val="16"/>
                <w:color w:val="auto"/>
              </w:rPr>
              <w:t>Continental Wind Nonrecourse Debt</w:t>
            </w:r>
          </w:p>
        </w:tc>
        <w:tc>
          <w:tcPr>
            <w:tcW w:w="252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February 2033</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1"/>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Geysers Power Company</w:t>
            </w: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SOFR + 1.625%</w:t>
            </w: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May 2029</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5"/>
        </w:trPr>
        <w:tc>
          <w:tcPr>
            <w:tcW w:w="5000" w:type="dxa"/>
            <w:vAlign w:val="bottom"/>
            <w:gridSpan w:val="3"/>
          </w:tcPr>
          <w:p>
            <w:pPr>
              <w:ind w:left="20"/>
              <w:spacing w:after="0"/>
              <w:rPr>
                <w:sz w:val="20"/>
                <w:szCs w:val="20"/>
                <w:color w:val="auto"/>
              </w:rPr>
            </w:pPr>
            <w:r>
              <w:rPr>
                <w:rFonts w:ascii="Arial" w:cs="Arial" w:eastAsia="Arial" w:hAnsi="Arial"/>
                <w:sz w:val="16"/>
                <w:szCs w:val="16"/>
                <w:color w:val="auto"/>
              </w:rPr>
              <w:t>Calpine Term Loan</w:t>
            </w:r>
          </w:p>
        </w:tc>
        <w:tc>
          <w:tcPr>
            <w:tcW w:w="2640" w:type="dxa"/>
            <w:vAlign w:val="bottom"/>
            <w:gridSpan w:val="2"/>
          </w:tcPr>
          <w:p>
            <w:pPr>
              <w:jc w:val="right"/>
              <w:ind w:right="140"/>
              <w:spacing w:after="0"/>
              <w:rPr>
                <w:sz w:val="20"/>
                <w:szCs w:val="20"/>
                <w:color w:val="auto"/>
              </w:rPr>
            </w:pPr>
            <w:r>
              <w:rPr>
                <w:rFonts w:ascii="Arial" w:cs="Arial" w:eastAsia="Arial" w:hAnsi="Arial"/>
                <w:sz w:val="16"/>
                <w:szCs w:val="16"/>
                <w:color w:val="auto"/>
              </w:rPr>
              <w:t>SOFR + 1.75%</w:t>
            </w:r>
          </w:p>
        </w:tc>
        <w:tc>
          <w:tcPr>
            <w:tcW w:w="22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February 2032</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251"/>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Calpine 2028 Senior Secured Notes</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February 2028</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35"/>
        </w:trPr>
        <w:tc>
          <w:tcPr>
            <w:tcW w:w="5000" w:type="dxa"/>
            <w:vAlign w:val="bottom"/>
            <w:gridSpan w:val="3"/>
          </w:tcPr>
          <w:p>
            <w:pPr>
              <w:ind w:left="20"/>
              <w:spacing w:after="0"/>
              <w:rPr>
                <w:sz w:val="20"/>
                <w:szCs w:val="20"/>
                <w:color w:val="auto"/>
              </w:rPr>
            </w:pPr>
            <w:r>
              <w:rPr>
                <w:rFonts w:ascii="Arial" w:cs="Arial" w:eastAsia="Arial" w:hAnsi="Arial"/>
                <w:sz w:val="16"/>
                <w:szCs w:val="16"/>
                <w:color w:val="auto"/>
              </w:rPr>
              <w:t>Calpine 2028 Senior Unsecured Notes</w:t>
            </w:r>
          </w:p>
        </w:tc>
        <w:tc>
          <w:tcPr>
            <w:tcW w:w="2520" w:type="dxa"/>
            <w:vAlign w:val="bottom"/>
          </w:tcPr>
          <w:p>
            <w:pPr>
              <w:jc w:val="right"/>
              <w:spacing w:after="0"/>
              <w:rPr>
                <w:sz w:val="20"/>
                <w:szCs w:val="20"/>
                <w:color w:val="auto"/>
              </w:rPr>
            </w:pPr>
            <w:r>
              <w:rPr>
                <w:rFonts w:ascii="Arial" w:cs="Arial" w:eastAsia="Arial" w:hAnsi="Arial"/>
                <w:sz w:val="16"/>
                <w:szCs w:val="16"/>
                <w:color w:val="auto"/>
              </w:rPr>
              <w:t>5.125%</w:t>
            </w:r>
          </w:p>
        </w:tc>
        <w:tc>
          <w:tcPr>
            <w:tcW w:w="120" w:type="dxa"/>
            <w:vAlign w:val="bottom"/>
          </w:tcPr>
          <w:p>
            <w:pPr>
              <w:spacing w:after="0"/>
              <w:rPr>
                <w:sz w:val="20"/>
                <w:szCs w:val="20"/>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March 2028</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(1,400)</w:t>
            </w:r>
          </w:p>
        </w:tc>
      </w:tr>
      <w:tr>
        <w:trPr>
          <w:trHeight w:val="244"/>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Calpine Term Loan</w:t>
            </w: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SOFR + 1.75%</w:t>
            </w:r>
          </w:p>
        </w:tc>
        <w:tc>
          <w:tcPr>
            <w:tcW w:w="2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2031</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r>
      <w:tr>
        <w:trPr>
          <w:trHeight w:val="243"/>
        </w:trPr>
        <w:tc>
          <w:tcPr>
            <w:tcW w:w="500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long-term debt issued (redeemed)</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w:t>
            </w:r>
          </w:p>
        </w:tc>
      </w:tr>
      <w:tr>
        <w:trPr>
          <w:trHeight w:val="20"/>
        </w:trPr>
        <w:tc>
          <w:tcPr>
            <w:tcW w:w="4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Does not include debt exchange activity discussed above.</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Relates to January 2026 debt issuance used to pay down Calpine corporate debt assumed.</w:t>
      </w:r>
    </w:p>
    <w:p>
      <w:pPr>
        <w:spacing w:after="0" w:line="14" w:lineRule="exact"/>
        <w:rPr>
          <w:rFonts w:ascii="Arial" w:cs="Arial" w:eastAsia="Arial" w:hAnsi="Arial"/>
          <w:sz w:val="14"/>
          <w:szCs w:val="14"/>
          <w:color w:val="auto"/>
        </w:rPr>
      </w:pPr>
    </w:p>
    <w:p>
      <w:pPr>
        <w:ind w:left="340" w:hanging="332"/>
        <w:spacing w:after="0" w:line="284"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funding to install energy conservation measures. The maturity dates represent the expected date of project completion, upon which the respective customer assumes the outstanding debt.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DOE Loan Guarantee</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November 2025, the DOE Office of Energy Dominance Financing issued a guarantee for up to $1.0 billion for an unsecured loan from the Federal Financing Bank to support the restart of the Crane Clean Energy Center. The loan matures November 2055. Interest rates on the loan is fixed upon each advance at a spread of 0.375% above U.S. Treasuries of comparable maturity. There have been no borrowings on this loan as of the date of this filing.</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Borrowings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meet our short-term liquidity requirements primarily through the issuance of commercial paper. We may use our credit facility for general corporate purposes, including meeting short-term funding requirements and the issuance of letters of credit.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Agreements</w:t>
      </w:r>
    </w:p>
    <w:p>
      <w:pPr>
        <w:spacing w:after="0" w:line="179"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September 2025, we amended our existing revolving credit facility (RCF) to increase the available aggregate commitment from $4.5 billion to $7.0 billion, which included incremental revolving credit commitments of $2.5 billion and extension of the maturity date to September 2030. The incremental commitments became available upon the closing of the Calpine acquisition in January 2026. The RCF may be drawn down in the form of loans and/or to support commercial paper and letter of credit issuances.</w:t>
      </w:r>
    </w:p>
    <w:p>
      <w:pPr>
        <w:spacing w:after="0" w:line="11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RCF fixed facility fee rate is 0.175% and borrowings under the RCF bear interest at a rate based upon either the Daily Simple SOFR rate or a Term SOFR rate, plus an adder based upon our credit rating. The adders for the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13 — Debt and Credit Agreements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Daily Simple SOFR-based borrowings and Term SOFR borrowings are 0.075% and 1.075%, respectively. The letters of credit bear interest at a rate of 1.075%.</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we were to lose our investment grade credit rating, the maximum adders for Daily Simple SOFR rate borrowings and Term SOFR rate borrowings would be 1.00% and 2.00%, respectively. The credit agreements also require us to pay facility fees based upon the aggregate commitments. The fees vary depending upon our credit rating.</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Facility</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Accounts Receivable Facility (the Facility) provides NER access to revolving loans from a number of financial institutions (Lenders) secured by certain customer accounts receivable. The maximum funding limit of the Facility is $1.5 billion and matures December 2027. Draws and repayments related to the Facility will be reflected as Proceeds from short-term borrowings and Repayments of short-term borrowings, respectively, in the Consolidated Statements of Cash Flows. Draws on the Facility bear interest at a commercial paper rate or a Daily One Month Term SOFR or Term SOFR rate, plus an adder of 0.10% per annum. Interest is payable monthly. In January 2026, we drew on and repaid the full amount of the Facility. Subsequently, in February and March 2026, we drew on the Facility in the amounts of $600 million and $900 million, respectively. The Facility was fully drawn on and outstanding as of March 31, 2026. In April 2026, we issued a $1.5 billion term loan, as discussed below, and used the proceeds to repay $400 million of the Facility.</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Facility requires the balance of eligible receivables to be maintained at or above the balance of cash proceeds received from the Lenders. To the extent the eligible receivables decrease below such balance, we are required to repay cash to the Lenders. When eligible receivables exceed cash proceeds, we have the ability to increase the cash proceeds received up to the maximum funding limit. As of March 31, 2026, the balance of our eligible receivables exceeded the cash proceeds outstanding from the Lenders.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Facilities Summary</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March 31, 2026 and December 31, 2025, we had the following aggregate bank commitments, credit facility borrowings and available capacity under our respective credit facilities: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Aggregate Bank</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ind w:left="240"/>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2"/>
                <w:szCs w:val="12"/>
                <w:color w:val="auto"/>
              </w:rPr>
            </w:pPr>
          </w:p>
        </w:tc>
        <w:tc>
          <w:tcPr>
            <w:tcW w:w="1500" w:type="dxa"/>
            <w:vAlign w:val="bottom"/>
            <w:gridSpan w:val="2"/>
          </w:tcPr>
          <w:p>
            <w:pPr>
              <w:ind w:left="260"/>
              <w:spacing w:after="0"/>
              <w:rPr>
                <w:sz w:val="20"/>
                <w:szCs w:val="20"/>
                <w:color w:val="auto"/>
              </w:rPr>
            </w:pPr>
            <w:r>
              <w:rPr>
                <w:rFonts w:ascii="Arial" w:cs="Arial" w:eastAsia="Arial" w:hAnsi="Arial"/>
                <w:sz w:val="13"/>
                <w:szCs w:val="13"/>
                <w:b w:val="1"/>
                <w:bCs w:val="1"/>
                <w:color w:val="auto"/>
              </w:rPr>
              <w:t>Outstanding</w:t>
            </w:r>
          </w:p>
        </w:tc>
        <w:tc>
          <w:tcPr>
            <w:tcW w:w="180" w:type="dxa"/>
            <w:vAlign w:val="bottom"/>
          </w:tcPr>
          <w:p>
            <w:pPr>
              <w:spacing w:after="0"/>
              <w:rPr>
                <w:sz w:val="12"/>
                <w:szCs w:val="12"/>
                <w:color w:val="auto"/>
              </w:rPr>
            </w:pPr>
          </w:p>
        </w:tc>
        <w:tc>
          <w:tcPr>
            <w:tcW w:w="1200" w:type="dxa"/>
            <w:vAlign w:val="bottom"/>
          </w:tcPr>
          <w:p>
            <w:pPr>
              <w:jc w:val="right"/>
              <w:ind w:right="183"/>
              <w:spacing w:after="0"/>
              <w:rPr>
                <w:sz w:val="20"/>
                <w:szCs w:val="20"/>
                <w:color w:val="auto"/>
              </w:rPr>
            </w:pPr>
            <w:r>
              <w:rPr>
                <w:rFonts w:ascii="Arial" w:cs="Arial" w:eastAsia="Arial" w:hAnsi="Arial"/>
                <w:sz w:val="13"/>
                <w:szCs w:val="13"/>
                <w:b w:val="1"/>
                <w:bCs w:val="1"/>
                <w:color w:val="auto"/>
              </w:rPr>
              <w:t>Total Available</w:t>
            </w:r>
          </w:p>
        </w:tc>
        <w:tc>
          <w:tcPr>
            <w:tcW w:w="340" w:type="dxa"/>
            <w:vAlign w:val="bottom"/>
          </w:tcPr>
          <w:p>
            <w:pPr>
              <w:spacing w:after="0"/>
              <w:rPr>
                <w:sz w:val="12"/>
                <w:szCs w:val="12"/>
                <w:color w:val="auto"/>
              </w:rPr>
            </w:pPr>
          </w:p>
        </w:tc>
      </w:tr>
      <w:tr>
        <w:trPr>
          <w:trHeight w:val="193"/>
        </w:trPr>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Facility Type</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Commitment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Facility Draws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Letters of Credit</w:t>
            </w:r>
            <w:r>
              <w:rPr>
                <w:rFonts w:ascii="Arial" w:cs="Arial" w:eastAsia="Arial" w:hAnsi="Arial"/>
                <w:sz w:val="16"/>
                <w:szCs w:val="16"/>
                <w:b w:val="1"/>
                <w:bCs w:val="1"/>
                <w:color w:val="auto"/>
                <w:vertAlign w:val="superscript"/>
              </w:rPr>
              <w:t>(a)</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w w:val="95"/>
              </w:rPr>
              <w:t>Commercial Paper</w:t>
            </w:r>
            <w:r>
              <w:rPr>
                <w:rFonts w:ascii="Arial" w:cs="Arial" w:eastAsia="Arial" w:hAnsi="Arial"/>
                <w:sz w:val="16"/>
                <w:szCs w:val="16"/>
                <w:b w:val="1"/>
                <w:bCs w:val="1"/>
                <w:color w:val="auto"/>
                <w:w w:val="95"/>
                <w:vertAlign w:val="superscript"/>
              </w:rPr>
              <w:t>(b)</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Capacity</w:t>
            </w:r>
          </w:p>
        </w:tc>
        <w:tc>
          <w:tcPr>
            <w:tcW w:w="340" w:type="dxa"/>
            <w:vAlign w:val="bottom"/>
          </w:tcPr>
          <w:p>
            <w:pPr>
              <w:spacing w:after="0"/>
              <w:rPr>
                <w:sz w:val="16"/>
                <w:szCs w:val="16"/>
                <w:color w:val="auto"/>
              </w:rPr>
            </w:pPr>
          </w:p>
        </w:tc>
      </w:tr>
      <w:tr>
        <w:trPr>
          <w:trHeight w:val="175"/>
        </w:trPr>
        <w:tc>
          <w:tcPr>
            <w:tcW w:w="3000" w:type="dxa"/>
            <w:vAlign w:val="bottom"/>
            <w:gridSpan w:val="2"/>
          </w:tcPr>
          <w:p>
            <w:pPr>
              <w:ind w:left="20"/>
              <w:spacing w:after="0"/>
              <w:rPr>
                <w:sz w:val="20"/>
                <w:szCs w:val="20"/>
                <w:color w:val="auto"/>
              </w:rPr>
            </w:pPr>
            <w:r>
              <w:rPr>
                <w:rFonts w:ascii="Arial" w:cs="Arial" w:eastAsia="Arial" w:hAnsi="Arial"/>
                <w:sz w:val="13"/>
                <w:szCs w:val="13"/>
                <w:b w:val="1"/>
                <w:bCs w:val="1"/>
                <w:color w:val="auto"/>
              </w:rPr>
              <w:t>March 31, 2026</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1,957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w:t>
            </w:r>
          </w:p>
        </w:tc>
        <w:tc>
          <w:tcPr>
            <w:tcW w:w="340" w:type="dxa"/>
            <w:vAlign w:val="bottom"/>
            <w:shd w:val="clear" w:color="auto" w:fill="CCEEFF"/>
          </w:tcPr>
          <w:p>
            <w:pPr>
              <w:spacing w:after="0"/>
              <w:rPr>
                <w:sz w:val="21"/>
                <w:szCs w:val="21"/>
                <w:color w:val="auto"/>
              </w:rPr>
            </w:pP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Bilateral and letter of credit facilities</w:t>
            </w:r>
            <w:r>
              <w:rPr>
                <w:rFonts w:ascii="Arial" w:cs="Arial" w:eastAsia="Arial" w:hAnsi="Arial"/>
                <w:sz w:val="21"/>
                <w:szCs w:val="21"/>
                <w:color w:val="auto"/>
                <w:vertAlign w:val="superscript"/>
              </w:rPr>
              <w:t>(c)(d)</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4,100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1,468</w:t>
            </w:r>
          </w:p>
        </w:tc>
        <w:tc>
          <w:tcPr>
            <w:tcW w:w="340" w:type="dxa"/>
            <w:vAlign w:val="bottom"/>
          </w:tcPr>
          <w:p>
            <w:pPr>
              <w:spacing w:after="0"/>
              <w:rPr>
                <w:sz w:val="21"/>
                <w:szCs w:val="21"/>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Facility</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CDHI Revolver</w:t>
            </w:r>
            <w:r>
              <w:rPr>
                <w:rFonts w:ascii="Arial" w:cs="Arial" w:eastAsia="Arial" w:hAnsi="Arial"/>
                <w:sz w:val="21"/>
                <w:szCs w:val="21"/>
                <w:color w:val="auto"/>
                <w:vertAlign w:val="superscript"/>
              </w:rPr>
              <w:t>(d)</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599</w:t>
            </w:r>
          </w:p>
        </w:tc>
        <w:tc>
          <w:tcPr>
            <w:tcW w:w="340" w:type="dxa"/>
            <w:vAlign w:val="bottom"/>
          </w:tcPr>
          <w:p>
            <w:pPr>
              <w:spacing w:after="0"/>
              <w:rPr>
                <w:sz w:val="21"/>
                <w:szCs w:val="21"/>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Liquidity Facility</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Project Finance</w:t>
            </w:r>
            <w:r>
              <w:rPr>
                <w:rFonts w:ascii="Arial" w:cs="Arial" w:eastAsia="Arial" w:hAnsi="Arial"/>
                <w:sz w:val="21"/>
                <w:szCs w:val="21"/>
                <w:color w:val="auto"/>
                <w:vertAlign w:val="superscript"/>
              </w:rPr>
              <w:t>(d)</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c>
          <w:tcPr>
            <w:tcW w:w="340" w:type="dxa"/>
            <w:vAlign w:val="bottom"/>
          </w:tcPr>
          <w:p>
            <w:pPr>
              <w:spacing w:after="0"/>
              <w:rPr>
                <w:sz w:val="21"/>
                <w:szCs w:val="21"/>
                <w:color w:val="auto"/>
              </w:rPr>
            </w:pPr>
          </w:p>
        </w:tc>
      </w:tr>
      <w:tr>
        <w:trPr>
          <w:trHeight w:val="261"/>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1,957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6,682</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r>
        <w:trPr>
          <w:trHeight w:val="782"/>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2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846"/>
        </w:trPr>
        <w:tc>
          <w:tcPr>
            <w:tcW w:w="2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13 — Debt and Credit Agreements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Aggregate Bank</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ind w:left="240"/>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3"/>
                <w:szCs w:val="13"/>
                <w:color w:val="auto"/>
              </w:rPr>
            </w:pPr>
          </w:p>
        </w:tc>
        <w:tc>
          <w:tcPr>
            <w:tcW w:w="1500" w:type="dxa"/>
            <w:vAlign w:val="bottom"/>
            <w:gridSpan w:val="2"/>
          </w:tcPr>
          <w:p>
            <w:pPr>
              <w:ind w:left="260"/>
              <w:spacing w:after="0"/>
              <w:rPr>
                <w:sz w:val="20"/>
                <w:szCs w:val="20"/>
                <w:color w:val="auto"/>
              </w:rPr>
            </w:pPr>
            <w:r>
              <w:rPr>
                <w:rFonts w:ascii="Arial" w:cs="Arial" w:eastAsia="Arial" w:hAnsi="Arial"/>
                <w:sz w:val="13"/>
                <w:szCs w:val="13"/>
                <w:b w:val="1"/>
                <w:bCs w:val="1"/>
                <w:color w:val="auto"/>
              </w:rPr>
              <w:t>Outstanding</w:t>
            </w:r>
          </w:p>
        </w:tc>
        <w:tc>
          <w:tcPr>
            <w:tcW w:w="180" w:type="dxa"/>
            <w:vAlign w:val="bottom"/>
          </w:tcPr>
          <w:p>
            <w:pPr>
              <w:spacing w:after="0"/>
              <w:rPr>
                <w:sz w:val="13"/>
                <w:szCs w:val="13"/>
                <w:color w:val="auto"/>
              </w:rPr>
            </w:pPr>
          </w:p>
        </w:tc>
        <w:tc>
          <w:tcPr>
            <w:tcW w:w="1200" w:type="dxa"/>
            <w:vAlign w:val="bottom"/>
          </w:tcPr>
          <w:p>
            <w:pPr>
              <w:jc w:val="right"/>
              <w:ind w:right="184"/>
              <w:spacing w:after="0"/>
              <w:rPr>
                <w:sz w:val="20"/>
                <w:szCs w:val="20"/>
                <w:color w:val="auto"/>
              </w:rPr>
            </w:pPr>
            <w:r>
              <w:rPr>
                <w:rFonts w:ascii="Arial" w:cs="Arial" w:eastAsia="Arial" w:hAnsi="Arial"/>
                <w:sz w:val="13"/>
                <w:szCs w:val="13"/>
                <w:b w:val="1"/>
                <w:bCs w:val="1"/>
                <w:color w:val="auto"/>
              </w:rPr>
              <w:t>Total Available</w:t>
            </w:r>
          </w:p>
        </w:tc>
        <w:tc>
          <w:tcPr>
            <w:tcW w:w="340" w:type="dxa"/>
            <w:vAlign w:val="bottom"/>
          </w:tcPr>
          <w:p>
            <w:pPr>
              <w:spacing w:after="0"/>
              <w:rPr>
                <w:sz w:val="13"/>
                <w:szCs w:val="13"/>
                <w:color w:val="auto"/>
              </w:rPr>
            </w:pPr>
          </w:p>
        </w:tc>
      </w:tr>
      <w:tr>
        <w:trPr>
          <w:trHeight w:val="193"/>
        </w:trPr>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Facility Type</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Commitment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Facility Draws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Letters of Credit</w:t>
            </w:r>
            <w:r>
              <w:rPr>
                <w:rFonts w:ascii="Arial" w:cs="Arial" w:eastAsia="Arial" w:hAnsi="Arial"/>
                <w:sz w:val="16"/>
                <w:szCs w:val="16"/>
                <w:b w:val="1"/>
                <w:bCs w:val="1"/>
                <w:color w:val="auto"/>
                <w:vertAlign w:val="superscript"/>
              </w:rPr>
              <w:t>(a)</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Commercial Paper</w:t>
            </w:r>
            <w:r>
              <w:rPr>
                <w:rFonts w:ascii="Arial" w:cs="Arial" w:eastAsia="Arial" w:hAnsi="Arial"/>
                <w:sz w:val="16"/>
                <w:szCs w:val="16"/>
                <w:b w:val="1"/>
                <w:bCs w:val="1"/>
                <w:color w:val="auto"/>
                <w:vertAlign w:val="superscript"/>
              </w:rPr>
              <w:t>(b)</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Capacity</w:t>
            </w:r>
          </w:p>
        </w:tc>
        <w:tc>
          <w:tcPr>
            <w:tcW w:w="340" w:type="dxa"/>
            <w:vAlign w:val="bottom"/>
          </w:tcPr>
          <w:p>
            <w:pPr>
              <w:spacing w:after="0"/>
              <w:rPr>
                <w:sz w:val="16"/>
                <w:szCs w:val="16"/>
                <w:color w:val="auto"/>
              </w:rPr>
            </w:pPr>
          </w:p>
        </w:tc>
      </w:tr>
      <w:tr>
        <w:trPr>
          <w:trHeight w:val="174"/>
        </w:trPr>
        <w:tc>
          <w:tcPr>
            <w:tcW w:w="300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2025</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w:t>
            </w:r>
          </w:p>
        </w:tc>
        <w:tc>
          <w:tcPr>
            <w:tcW w:w="340" w:type="dxa"/>
            <w:vAlign w:val="bottom"/>
            <w:shd w:val="clear" w:color="auto" w:fill="CCEEFF"/>
          </w:tcPr>
          <w:p>
            <w:pPr>
              <w:spacing w:after="0"/>
              <w:rPr>
                <w:sz w:val="21"/>
                <w:szCs w:val="21"/>
                <w:color w:val="auto"/>
              </w:rPr>
            </w:pPr>
          </w:p>
        </w:tc>
      </w:tr>
      <w:tr>
        <w:trPr>
          <w:trHeight w:val="235"/>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Bilaterals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2,350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1,074</w:t>
            </w:r>
          </w:p>
        </w:tc>
        <w:tc>
          <w:tcPr>
            <w:tcW w:w="340" w:type="dxa"/>
            <w:vAlign w:val="bottom"/>
          </w:tcPr>
          <w:p>
            <w:pPr>
              <w:spacing w:after="0"/>
              <w:rPr>
                <w:sz w:val="20"/>
                <w:szCs w:val="20"/>
                <w:color w:val="auto"/>
              </w:rPr>
            </w:pPr>
          </w:p>
        </w:tc>
      </w:tr>
      <w:tr>
        <w:trPr>
          <w:trHeight w:val="251"/>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Facility</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340" w:type="dxa"/>
            <w:vAlign w:val="bottom"/>
            <w:shd w:val="clear" w:color="auto" w:fill="CCEEFF"/>
          </w:tcPr>
          <w:p>
            <w:pPr>
              <w:spacing w:after="0"/>
              <w:rPr>
                <w:sz w:val="21"/>
                <w:szCs w:val="21"/>
                <w:color w:val="auto"/>
              </w:rPr>
            </w:pPr>
          </w:p>
        </w:tc>
      </w:tr>
      <w:tr>
        <w:trPr>
          <w:trHeight w:val="235"/>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Liquidity Facility</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312</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r>
      <w:tr>
        <w:trPr>
          <w:trHeight w:val="244"/>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Project Finance</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40" w:type="dxa"/>
            <w:vAlign w:val="bottom"/>
            <w:shd w:val="clear" w:color="auto" w:fill="CCEEFF"/>
          </w:tcPr>
          <w:p>
            <w:pPr>
              <w:spacing w:after="0"/>
              <w:rPr>
                <w:sz w:val="21"/>
                <w:szCs w:val="21"/>
                <w:color w:val="auto"/>
              </w:rPr>
            </w:pP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9,458</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7,361</w:t>
            </w:r>
          </w:p>
        </w:tc>
        <w:tc>
          <w:tcPr>
            <w:tcW w:w="340" w:type="dxa"/>
            <w:vAlign w:val="bottom"/>
          </w:tcPr>
          <w:p>
            <w:pPr>
              <w:spacing w:after="0"/>
              <w:rPr>
                <w:sz w:val="21"/>
                <w:szCs w:val="2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46" w:lineRule="exact"/>
        <w:rPr>
          <w:sz w:val="20"/>
          <w:szCs w:val="20"/>
          <w:color w:val="auto"/>
        </w:rPr>
      </w:pPr>
    </w:p>
    <w:p>
      <w:pPr>
        <w:ind w:left="340" w:hanging="332"/>
        <w:spacing w:after="0" w:line="282"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Excludes an additional outstanding letter of credit which was not issued under these facilities of $15 million as of March 31, 2026 and December 31, 2025. See Note 15 — Commitments and Contingencies for additional information.</w:t>
      </w:r>
    </w:p>
    <w:p>
      <w:pPr>
        <w:jc w:val="both"/>
        <w:ind w:left="340" w:hanging="332"/>
        <w:spacing w:after="0" w:line="257"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commercial paper program is supported by the revolving credit agreement. In order to maintain our commercial paper program in the amounts indicated above, we must have a credit facility in place, at least equal to the amount of our commercial paper program. As of March 31, 2026 and December 31, 2025, the maximum program size of our commercial paper program was $7.0 billion and $4.5 billion, respectively. We do not issue commercial paper in an aggregate amount exceeding the then available capacity under our credit facility. The weighted average interest rate on commercial paper borrowings was 3.98% as of March 31, 2026. There were no commercial paper borrowings outstanding as of December 31, 2025.</w:t>
      </w:r>
    </w:p>
    <w:p>
      <w:pPr>
        <w:spacing w:after="0" w:line="2" w:lineRule="exact"/>
        <w:rPr>
          <w:rFonts w:ascii="Arial" w:cs="Arial" w:eastAsia="Arial" w:hAnsi="Arial"/>
          <w:sz w:val="14"/>
          <w:szCs w:val="14"/>
          <w:color w:val="auto"/>
        </w:rPr>
      </w:pPr>
    </w:p>
    <w:p>
      <w:pPr>
        <w:jc w:val="both"/>
        <w:ind w:left="340" w:hanging="332"/>
        <w:spacing w:after="0" w:line="257"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February 2026, we increased the capacity to issue letters of credit by an additional $100 million each for two existing uncommitted bilateral facilities, and an additional $200 million for a third uncommitted bilateral facility. In February 2026, we initiated a new bilateral credit agreement for $400 million, with no maturity date. In February 2026, we entered into a $75 million uncommitted bilateral credit agreement. In March 2026, we increased the capacity to issue letters of credit for one committed bilateral facility by an additional $300 million and converted it to an uncommitted facility. In March 2026, a bilateral credit agreement initiated in March 2025 was extended for an additional two years to mature March 2028.</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corporate and project-related facilities assumed in connection with Calpine acquisition in January 2026.</w:t>
      </w:r>
    </w:p>
    <w:p>
      <w:pPr>
        <w:spacing w:after="0" w:line="14" w:lineRule="exact"/>
        <w:rPr>
          <w:rFonts w:ascii="Arial" w:cs="Arial" w:eastAsia="Arial" w:hAnsi="Arial"/>
          <w:sz w:val="14"/>
          <w:szCs w:val="14"/>
          <w:color w:val="auto"/>
        </w:rPr>
      </w:pPr>
    </w:p>
    <w:p>
      <w:pPr>
        <w:jc w:val="both"/>
        <w:ind w:left="340" w:hanging="332"/>
        <w:spacing w:after="0" w:line="262"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maximum amount of the bank commitment is not to exceed $971 million. The aggregate available capacity of the facility is subject to market fluctuations based on the value of U.S. Treasury Securities which determines the amount of collateral held in the trust. We may post additional collateral to borrow up to the maximum bank commitment. As of March 31, 2026 and December 31, 2025, without posting additional collateral, the actual availability of facility, prior to outstanding letters of credit was $957 million and $959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Loan Agreements</w:t>
      </w:r>
    </w:p>
    <w:p>
      <w:pPr>
        <w:spacing w:after="0" w:line="165"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As of March 31, 2026 and December 31, 2025, we had the following short-term loan agreements, both of which are unsecured and reflected in Short-term borrowings in the 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Month Initiated</w:t>
            </w:r>
          </w:p>
        </w:tc>
        <w:tc>
          <w:tcPr>
            <w:tcW w:w="2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Interest Rate</w:t>
            </w:r>
          </w:p>
        </w:tc>
        <w:tc>
          <w:tcPr>
            <w:tcW w:w="2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Maturity</w:t>
            </w:r>
          </w:p>
        </w:tc>
        <w:tc>
          <w:tcPr>
            <w:tcW w:w="320" w:type="dxa"/>
            <w:vAlign w:val="bottom"/>
          </w:tcPr>
          <w:p>
            <w:pPr>
              <w:spacing w:after="0"/>
              <w:rPr>
                <w:sz w:val="14"/>
                <w:szCs w:val="14"/>
                <w:color w:val="auto"/>
              </w:rPr>
            </w:pPr>
          </w:p>
        </w:tc>
        <w:tc>
          <w:tcPr>
            <w:tcW w:w="1760" w:type="dxa"/>
            <w:vAlign w:val="bottom"/>
            <w:gridSpan w:val="2"/>
          </w:tcPr>
          <w:p>
            <w:pPr>
              <w:ind w:left="220"/>
              <w:spacing w:after="0"/>
              <w:rPr>
                <w:sz w:val="20"/>
                <w:szCs w:val="20"/>
                <w:color w:val="auto"/>
              </w:rPr>
            </w:pPr>
            <w:r>
              <w:rPr>
                <w:rFonts w:ascii="Arial" w:cs="Arial" w:eastAsia="Arial" w:hAnsi="Arial"/>
                <w:sz w:val="13"/>
                <w:szCs w:val="13"/>
                <w:b w:val="1"/>
                <w:bCs w:val="1"/>
                <w:color w:val="auto"/>
              </w:rPr>
              <w:t>March 31, 2026</w:t>
            </w:r>
          </w:p>
        </w:tc>
        <w:tc>
          <w:tcPr>
            <w:tcW w:w="280" w:type="dxa"/>
            <w:vAlign w:val="bottom"/>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Arial" w:cs="Arial" w:eastAsia="Arial" w:hAnsi="Arial"/>
                <w:sz w:val="13"/>
                <w:szCs w:val="13"/>
                <w:b w:val="1"/>
                <w:bCs w:val="1"/>
                <w:color w:val="auto"/>
              </w:rPr>
              <w:t>December 31, 2025</w:t>
            </w:r>
          </w:p>
        </w:tc>
      </w:tr>
      <w:tr>
        <w:trPr>
          <w:trHeight w:val="22"/>
        </w:trPr>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6"/>
        </w:trPr>
        <w:tc>
          <w:tcPr>
            <w:tcW w:w="2200" w:type="dxa"/>
            <w:vAlign w:val="bottom"/>
            <w:gridSpan w:val="2"/>
            <w:shd w:val="clear" w:color="auto" w:fill="CCEEFF"/>
          </w:tcPr>
          <w:p>
            <w:pPr>
              <w:jc w:val="center"/>
              <w:ind w:right="120"/>
              <w:spacing w:after="0" w:line="237" w:lineRule="exact"/>
              <w:rPr>
                <w:sz w:val="20"/>
                <w:szCs w:val="20"/>
                <w:color w:val="auto"/>
              </w:rPr>
            </w:pPr>
            <w:r>
              <w:rPr>
                <w:rFonts w:ascii="Arial" w:cs="Arial" w:eastAsia="Arial" w:hAnsi="Arial"/>
                <w:sz w:val="16"/>
                <w:szCs w:val="16"/>
                <w:color w:val="auto"/>
                <w:w w:val="96"/>
              </w:rPr>
              <w:t>May 2025</w:t>
            </w:r>
            <w:r>
              <w:rPr>
                <w:rFonts w:ascii="Arial" w:cs="Arial" w:eastAsia="Arial" w:hAnsi="Arial"/>
                <w:sz w:val="21"/>
                <w:szCs w:val="21"/>
                <w:color w:val="auto"/>
                <w:w w:val="96"/>
                <w:vertAlign w:val="superscript"/>
              </w:rPr>
              <w:t>(a)</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1-month SOFR + 0.90%</w:t>
            </w:r>
          </w:p>
        </w:tc>
        <w:tc>
          <w:tcPr>
            <w:tcW w:w="22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May 2026</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900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900</w:t>
            </w:r>
          </w:p>
        </w:tc>
      </w:tr>
      <w:tr>
        <w:trPr>
          <w:trHeight w:val="241"/>
        </w:trPr>
        <w:tc>
          <w:tcPr>
            <w:tcW w:w="2200" w:type="dxa"/>
            <w:vAlign w:val="bottom"/>
            <w:gridSpan w:val="2"/>
          </w:tcPr>
          <w:p>
            <w:pPr>
              <w:jc w:val="center"/>
              <w:ind w:right="120"/>
              <w:spacing w:after="0"/>
              <w:rPr>
                <w:sz w:val="20"/>
                <w:szCs w:val="20"/>
                <w:color w:val="auto"/>
              </w:rPr>
            </w:pPr>
            <w:r>
              <w:rPr>
                <w:rFonts w:ascii="Arial" w:cs="Arial" w:eastAsia="Arial" w:hAnsi="Arial"/>
                <w:sz w:val="16"/>
                <w:szCs w:val="16"/>
                <w:color w:val="auto"/>
              </w:rPr>
              <w:t>September 2025</w:t>
            </w:r>
          </w:p>
        </w:tc>
        <w:tc>
          <w:tcPr>
            <w:tcW w:w="2720" w:type="dxa"/>
            <w:vAlign w:val="bottom"/>
            <w:gridSpan w:val="2"/>
          </w:tcPr>
          <w:p>
            <w:pPr>
              <w:jc w:val="center"/>
              <w:ind w:right="100"/>
              <w:spacing w:after="0"/>
              <w:rPr>
                <w:sz w:val="20"/>
                <w:szCs w:val="20"/>
                <w:color w:val="auto"/>
              </w:rPr>
            </w:pPr>
            <w:r>
              <w:rPr>
                <w:rFonts w:ascii="Arial" w:cs="Arial" w:eastAsia="Arial" w:hAnsi="Arial"/>
                <w:sz w:val="16"/>
                <w:szCs w:val="16"/>
                <w:color w:val="auto"/>
              </w:rPr>
              <w:t>1-month SOFR + 0.90%</w:t>
            </w:r>
          </w:p>
        </w:tc>
        <w:tc>
          <w:tcPr>
            <w:tcW w:w="2220" w:type="dxa"/>
            <w:vAlign w:val="bottom"/>
            <w:gridSpan w:val="2"/>
          </w:tcPr>
          <w:p>
            <w:pPr>
              <w:jc w:val="center"/>
              <w:ind w:right="140"/>
              <w:spacing w:after="0"/>
              <w:rPr>
                <w:sz w:val="20"/>
                <w:szCs w:val="20"/>
                <w:color w:val="auto"/>
              </w:rPr>
            </w:pPr>
            <w:r>
              <w:rPr>
                <w:rFonts w:ascii="Arial" w:cs="Arial" w:eastAsia="Arial" w:hAnsi="Arial"/>
                <w:sz w:val="16"/>
                <w:szCs w:val="16"/>
                <w:color w:val="auto"/>
              </w:rPr>
              <w:t>September 2026</w:t>
            </w:r>
          </w:p>
        </w:tc>
        <w:tc>
          <w:tcPr>
            <w:tcW w:w="320" w:type="dxa"/>
            <w:vAlign w:val="bottom"/>
          </w:tcPr>
          <w:p>
            <w:pPr>
              <w:spacing w:after="0"/>
              <w:rPr>
                <w:sz w:val="20"/>
                <w:szCs w:val="20"/>
                <w:color w:val="auto"/>
              </w:rPr>
            </w:pPr>
          </w:p>
        </w:tc>
        <w:tc>
          <w:tcPr>
            <w:tcW w:w="1680" w:type="dxa"/>
            <w:vAlign w:val="bottom"/>
          </w:tcPr>
          <w:p>
            <w:pPr>
              <w:jc w:val="right"/>
              <w:ind w:right="5"/>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5"/>
              <w:spacing w:after="0"/>
              <w:rPr>
                <w:sz w:val="20"/>
                <w:szCs w:val="20"/>
                <w:color w:val="auto"/>
              </w:rPr>
            </w:pPr>
            <w:r>
              <w:rPr>
                <w:rFonts w:ascii="Arial" w:cs="Arial" w:eastAsia="Arial" w:hAnsi="Arial"/>
                <w:sz w:val="16"/>
                <w:szCs w:val="16"/>
                <w:color w:val="auto"/>
              </w:rPr>
              <w:t>750</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 April 2026, we initiated a term loan for $1.5 billion, the proceeds of which were used to repay the May 2025 term loan.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we are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14 — Fair Value of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Fair Value of Financial Assets and Liabilities</w:t>
      </w:r>
    </w:p>
    <w:p>
      <w:pPr>
        <w:spacing w:after="0" w:line="16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measure and classify fair value measurements in accordance with the hierarchy as defined by GAAP. The hierarchy prioritizes the inputs to valuation techniques used to measure fair value into three levels as follows:</w:t>
      </w:r>
    </w:p>
    <w:p>
      <w:pPr>
        <w:spacing w:after="0" w:line="87"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1 — quoted prices (unadjusted) in active markets for identical assets or liabilities that we have the ability to liquidate as of the reporting date.</w:t>
      </w:r>
    </w:p>
    <w:p>
      <w:pPr>
        <w:spacing w:after="0" w:line="180"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directly observable for the asset or liability or indirectly observable through corroboration with observable market data.</w:t>
      </w:r>
    </w:p>
    <w:p>
      <w:pPr>
        <w:spacing w:after="0" w:line="101"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3 — unobservable inputs, such as internally developed pricing models or third-party valuations for the asset or liability due to little or no market activity for the asset or liability.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Liabilities Recorded at Amortized Cost</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presents the carrying amounts and fair values of our long-term debt and SNF obligation as of March 31, 2026 and December 31, 2025. We have no financial liabilities classified as Level 1. The carrying amounts of the short-term liabilities as presented in the Consolidated Balance Sheets are representative of their fair value (Level 2) because of the short-term nature of these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ind w:left="420"/>
              <w:spacing w:after="0"/>
              <w:rPr>
                <w:sz w:val="20"/>
                <w:szCs w:val="20"/>
                <w:color w:val="auto"/>
              </w:rPr>
            </w:pPr>
            <w:r>
              <w:rPr>
                <w:rFonts w:ascii="Arial" w:cs="Arial" w:eastAsia="Arial" w:hAnsi="Arial"/>
                <w:sz w:val="13"/>
                <w:szCs w:val="13"/>
                <w:b w:val="1"/>
                <w:bCs w:val="1"/>
                <w:color w:val="auto"/>
              </w:rPr>
              <w:t>March 31, 2026</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ind w:left="280"/>
              <w:spacing w:after="0"/>
              <w:rPr>
                <w:sz w:val="20"/>
                <w:szCs w:val="20"/>
                <w:color w:val="auto"/>
              </w:rPr>
            </w:pPr>
            <w:r>
              <w:rPr>
                <w:rFonts w:ascii="Arial" w:cs="Arial" w:eastAsia="Arial" w:hAnsi="Arial"/>
                <w:sz w:val="13"/>
                <w:szCs w:val="13"/>
                <w:b w:val="1"/>
                <w:bCs w:val="1"/>
                <w:color w:val="auto"/>
              </w:rPr>
              <w:t>December 31, 2025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Carrying</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6"/>
              </w:rPr>
              <w:t>Fair Value</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Carrying</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6"/>
              </w:rPr>
              <w:t>Fair Value</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80"/>
              <w:spacing w:after="0" w:line="141"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Level 3</w:t>
            </w:r>
          </w:p>
        </w:tc>
        <w:tc>
          <w:tcPr>
            <w:tcW w:w="240" w:type="dxa"/>
            <w:vAlign w:val="bottom"/>
          </w:tcPr>
          <w:p>
            <w:pPr>
              <w:spacing w:after="0"/>
              <w:rPr>
                <w:sz w:val="15"/>
                <w:szCs w:val="15"/>
                <w:color w:val="auto"/>
              </w:rPr>
            </w:pPr>
          </w:p>
        </w:tc>
        <w:tc>
          <w:tcPr>
            <w:tcW w:w="760" w:type="dxa"/>
            <w:vAlign w:val="bottom"/>
          </w:tcPr>
          <w:p>
            <w:pPr>
              <w:jc w:val="right"/>
              <w:ind w:right="265"/>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80"/>
              <w:spacing w:after="0" w:line="141"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Level 3</w:t>
            </w:r>
          </w:p>
        </w:tc>
        <w:tc>
          <w:tcPr>
            <w:tcW w:w="220" w:type="dxa"/>
            <w:vAlign w:val="bottom"/>
          </w:tcPr>
          <w:p>
            <w:pPr>
              <w:spacing w:after="0"/>
              <w:rPr>
                <w:sz w:val="15"/>
                <w:szCs w:val="15"/>
                <w:color w:val="auto"/>
              </w:rPr>
            </w:pPr>
          </w:p>
        </w:tc>
        <w:tc>
          <w:tcPr>
            <w:tcW w:w="760" w:type="dxa"/>
            <w:vAlign w:val="bottom"/>
          </w:tcPr>
          <w:p>
            <w:pPr>
              <w:jc w:val="right"/>
              <w:ind w:right="26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5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Long-Term Debt, including</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17,364</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13,994</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3,475</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17,469</w:t>
            </w: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7,342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6,995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666</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7,661</w:t>
            </w:r>
          </w:p>
        </w:tc>
        <w:tc>
          <w:tcPr>
            <w:tcW w:w="0" w:type="dxa"/>
            <w:vAlign w:val="bottom"/>
          </w:tcPr>
          <w:p>
            <w:pPr>
              <w:spacing w:after="0"/>
              <w:rPr>
                <w:sz w:val="1"/>
                <w:szCs w:val="1"/>
                <w:color w:val="auto"/>
              </w:rPr>
            </w:pPr>
          </w:p>
        </w:tc>
      </w:tr>
      <w:tr>
        <w:trPr>
          <w:trHeight w:val="134"/>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amounts due within one year</w:t>
            </w:r>
          </w:p>
        </w:tc>
        <w:tc>
          <w:tcPr>
            <w:tcW w:w="18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50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8"/>
        </w:trPr>
        <w:tc>
          <w:tcPr>
            <w:tcW w:w="2500" w:type="dxa"/>
            <w:vAlign w:val="bottom"/>
          </w:tcPr>
          <w:p>
            <w:pPr>
              <w:ind w:left="20"/>
              <w:spacing w:after="0"/>
              <w:rPr>
                <w:sz w:val="20"/>
                <w:szCs w:val="20"/>
                <w:color w:val="auto"/>
              </w:rPr>
            </w:pPr>
            <w:r>
              <w:rPr>
                <w:rFonts w:ascii="Arial" w:cs="Arial" w:eastAsia="Arial" w:hAnsi="Arial"/>
                <w:sz w:val="16"/>
                <w:szCs w:val="16"/>
                <w:color w:val="auto"/>
              </w:rPr>
              <w:t>SNF Obligation</w:t>
            </w:r>
            <w:r>
              <w:rPr>
                <w:rFonts w:ascii="Arial" w:cs="Arial" w:eastAsia="Arial" w:hAnsi="Arial"/>
                <w:sz w:val="21"/>
                <w:szCs w:val="21"/>
                <w:color w:val="auto"/>
                <w:vertAlign w:val="superscript"/>
              </w:rPr>
              <w:t>(a)</w:t>
            </w:r>
          </w:p>
        </w:tc>
        <w:tc>
          <w:tcPr>
            <w:tcW w:w="1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6"/>
                <w:szCs w:val="16"/>
                <w:color w:val="auto"/>
              </w:rPr>
              <w:t>1,426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6"/>
                <w:szCs w:val="16"/>
                <w:color w:val="auto"/>
              </w:rPr>
              <w:t>1,406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SNF Obligation is included in Other deferred credits and other liabilities in the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Techniques Used to Determine Fair Value and Net Asset Value</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valuation techniques used to measure the fair value and net asset value of the assets and liabilities are in accordance with the policies discussed in Note 17 — Fair Value of Financial Assets and Liabilities of our 2025 Form 10-K except for certain assumed variable rate project financings which are valued using a model that estimates pricing using an internal rate of return calculation and benchmark indices, which may be adjusted for company or security specific risks, resulting in these being classified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Note 14 — Fair Value of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Recurring Fair Value Measurements</w:t>
      </w:r>
    </w:p>
    <w:p>
      <w:pPr>
        <w:spacing w:after="0" w:line="16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presents assets and liabilities measured and recorded at fair value in the Consolidated Balance Sheets on a recurring basis and their level within the fair value hierarchy as of March 31, 2026 and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ind w:left="360"/>
              <w:spacing w:after="0"/>
              <w:rPr>
                <w:sz w:val="20"/>
                <w:szCs w:val="20"/>
                <w:color w:val="auto"/>
              </w:rPr>
            </w:pPr>
            <w:r>
              <w:rPr>
                <w:rFonts w:ascii="Arial" w:cs="Arial" w:eastAsia="Arial" w:hAnsi="Arial"/>
                <w:sz w:val="13"/>
                <w:szCs w:val="13"/>
                <w:b w:val="1"/>
                <w:bCs w:val="1"/>
                <w:color w:val="auto"/>
              </w:rPr>
              <w:t>March 31, 2026</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ind w:left="220"/>
              <w:spacing w:after="0"/>
              <w:rPr>
                <w:sz w:val="20"/>
                <w:szCs w:val="20"/>
                <w:color w:val="auto"/>
              </w:rPr>
            </w:pPr>
            <w:r>
              <w:rPr>
                <w:rFonts w:ascii="Arial" w:cs="Arial" w:eastAsia="Arial" w:hAnsi="Arial"/>
                <w:sz w:val="13"/>
                <w:szCs w:val="13"/>
                <w:b w:val="1"/>
                <w:bCs w:val="1"/>
                <w:color w:val="auto"/>
              </w:rPr>
              <w:t>December 31, 2025</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3</w:t>
            </w:r>
          </w:p>
        </w:tc>
        <w:tc>
          <w:tcPr>
            <w:tcW w:w="18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8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80" w:type="dxa"/>
            <w:vAlign w:val="bottom"/>
          </w:tcPr>
          <w:p>
            <w:pPr>
              <w:spacing w:after="0"/>
              <w:rPr>
                <w:sz w:val="15"/>
                <w:szCs w:val="15"/>
                <w:color w:val="auto"/>
              </w:rPr>
            </w:pPr>
          </w:p>
        </w:tc>
        <w:tc>
          <w:tcPr>
            <w:tcW w:w="720" w:type="dxa"/>
            <w:vAlign w:val="bottom"/>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NDT fund investments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4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7,671</w:t>
            </w:r>
          </w:p>
        </w:tc>
        <w:tc>
          <w:tcPr>
            <w:tcW w:w="0" w:type="dxa"/>
            <w:vAlign w:val="bottom"/>
          </w:tcPr>
          <w:p>
            <w:pPr>
              <w:spacing w:after="0"/>
              <w:rPr>
                <w:sz w:val="1"/>
                <w:szCs w:val="1"/>
                <w:color w:val="auto"/>
              </w:rPr>
            </w:pPr>
          </w:p>
        </w:tc>
      </w:tr>
      <w:tr>
        <w:trPr>
          <w:trHeight w:val="215"/>
        </w:trPr>
        <w:tc>
          <w:tcPr>
            <w:tcW w:w="318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4,162</w:t>
            </w: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Private credit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5"/>
        </w:trPr>
        <w:tc>
          <w:tcPr>
            <w:tcW w:w="3180" w:type="dxa"/>
            <w:vAlign w:val="bottom"/>
          </w:tcPr>
          <w:p>
            <w:pPr>
              <w:ind w:left="240"/>
              <w:spacing w:after="0"/>
              <w:rPr>
                <w:sz w:val="20"/>
                <w:szCs w:val="20"/>
                <w:color w:val="auto"/>
              </w:rPr>
            </w:pPr>
            <w:r>
              <w:rPr>
                <w:rFonts w:ascii="Arial" w:cs="Arial" w:eastAsia="Arial" w:hAnsi="Arial"/>
                <w:sz w:val="16"/>
                <w:szCs w:val="16"/>
                <w:color w:val="auto"/>
              </w:rPr>
              <w:t>Assets measured at NAV</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7,194</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ind w:left="440"/>
              <w:spacing w:after="0" w:line="210" w:lineRule="exact"/>
              <w:rPr>
                <w:sz w:val="20"/>
                <w:szCs w:val="20"/>
                <w:color w:val="auto"/>
              </w:rPr>
            </w:pPr>
            <w:r>
              <w:rPr>
                <w:rFonts w:ascii="Arial" w:cs="Arial" w:eastAsia="Arial" w:hAnsi="Arial"/>
                <w:sz w:val="16"/>
                <w:szCs w:val="16"/>
                <w:color w:val="auto"/>
              </w:rPr>
              <w:t>NDT fund investments subtotal</w:t>
            </w:r>
            <w:r>
              <w:rPr>
                <w:rFonts w:ascii="Arial" w:cs="Arial" w:eastAsia="Arial" w:hAnsi="Arial"/>
                <w:sz w:val="21"/>
                <w:szCs w:val="21"/>
                <w:color w:val="auto"/>
                <w:vertAlign w:val="superscript"/>
              </w:rPr>
              <w:t>(c)</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2,713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19,396</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6"/>
                <w:szCs w:val="16"/>
                <w:color w:val="auto"/>
              </w:rPr>
              <w:t>Rabbi trust investments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equities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6"/>
                <w:szCs w:val="16"/>
                <w:color w:val="auto"/>
              </w:rPr>
              <w:t>Derivative assets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Economic hedges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12,393</w:t>
            </w:r>
          </w:p>
        </w:tc>
        <w:tc>
          <w:tcPr>
            <w:tcW w:w="0" w:type="dxa"/>
            <w:vAlign w:val="bottom"/>
          </w:tcPr>
          <w:p>
            <w:pPr>
              <w:spacing w:after="0"/>
              <w:rPr>
                <w:sz w:val="1"/>
                <w:szCs w:val="1"/>
                <w:color w:val="auto"/>
              </w:rPr>
            </w:pPr>
          </w:p>
        </w:tc>
      </w:tr>
      <w:tr>
        <w:trPr>
          <w:trHeight w:val="162"/>
        </w:trPr>
        <w:tc>
          <w:tcPr>
            <w:tcW w:w="3180" w:type="dxa"/>
            <w:vAlign w:val="bottom"/>
          </w:tcPr>
          <w:p>
            <w:pPr>
              <w:ind w:left="240"/>
              <w:spacing w:after="0" w:line="162" w:lineRule="exact"/>
              <w:rPr>
                <w:sz w:val="20"/>
                <w:szCs w:val="20"/>
                <w:color w:val="auto"/>
              </w:rPr>
            </w:pPr>
            <w:r>
              <w:rPr>
                <w:rFonts w:ascii="Arial" w:cs="Arial" w:eastAsia="Arial" w:hAnsi="Arial"/>
                <w:sz w:val="16"/>
                <w:szCs w:val="16"/>
                <w:color w:val="auto"/>
              </w:rPr>
              <w:t>Effect of netting and allocation of</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(1,940)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(10,361)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(5,950)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(18,251)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(6,853)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(3,256)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(10,998)</w:t>
            </w:r>
          </w:p>
        </w:tc>
        <w:tc>
          <w:tcPr>
            <w:tcW w:w="0" w:type="dxa"/>
            <w:vAlign w:val="bottom"/>
          </w:tcPr>
          <w:p>
            <w:pPr>
              <w:spacing w:after="0"/>
              <w:rPr>
                <w:sz w:val="1"/>
                <w:szCs w:val="1"/>
                <w:color w:val="auto"/>
              </w:rPr>
            </w:pPr>
          </w:p>
        </w:tc>
      </w:tr>
      <w:tr>
        <w:trPr>
          <w:trHeight w:val="215"/>
        </w:trPr>
        <w:tc>
          <w:tcPr>
            <w:tcW w:w="3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collateral</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assets subtotal</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assets measured at fair value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21,032</w:t>
            </w: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ind w:left="240"/>
              <w:spacing w:after="0"/>
              <w:rPr>
                <w:sz w:val="20"/>
                <w:szCs w:val="20"/>
                <w:color w:val="auto"/>
              </w:rPr>
            </w:pPr>
            <w:r>
              <w:rPr>
                <w:rFonts w:ascii="Arial" w:cs="Arial" w:eastAsia="Arial" w:hAnsi="Arial"/>
                <w:sz w:val="16"/>
                <w:szCs w:val="16"/>
                <w:color w:val="auto"/>
              </w:rPr>
              <w:t>Economic hedges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(21,262)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(13,231)</w:t>
            </w:r>
          </w:p>
        </w:tc>
        <w:tc>
          <w:tcPr>
            <w:tcW w:w="0" w:type="dxa"/>
            <w:vAlign w:val="bottom"/>
          </w:tcPr>
          <w:p>
            <w:pPr>
              <w:spacing w:after="0"/>
              <w:rPr>
                <w:sz w:val="1"/>
                <w:szCs w:val="1"/>
                <w:color w:val="auto"/>
              </w:rPr>
            </w:pPr>
          </w:p>
        </w:tc>
      </w:tr>
      <w:tr>
        <w:trPr>
          <w:trHeight w:val="163"/>
        </w:trPr>
        <w:tc>
          <w:tcPr>
            <w:tcW w:w="318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Effect of netting and allocation of</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11,283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6,429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19,934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7,657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3,628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12,350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collateral</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Derivative liabilities subtotal</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obligation</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 measured at fair value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35"/>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net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3,018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jc w:val="both"/>
        <w:ind w:left="340" w:hanging="332"/>
        <w:spacing w:after="0" w:line="262"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CEG Parent has $352 million and $70 million of Level 1 cash equivalents as of March 31, 2026 and December 31, 2025, respectively. We exclude cash of $734 million and $3,621 million, and restricted cash of $70 million and $57 million as of March 31, 2026 and December 31, 2025, respectively. CEG Parent has excluded an additional $15 million of cash as of March 31, 2026 and no additional cash exclusions as of December 31, 2025.</w:t>
      </w:r>
    </w:p>
    <w:p>
      <w:pPr>
        <w:jc w:val="both"/>
        <w:ind w:left="340" w:hanging="332"/>
        <w:spacing w:after="0" w:line="254"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net liabilities of $231 million and $166 million as of March 31, 2026 and December 31, 2025, respectively, which consist of receivables related to pending securities sales, interest and dividend receivables, repurchase agreement obligations, and payables related to pending securities purchases. The repurchase agreements are generally short-term in nature with durations generally of 30 days or less.</w:t>
      </w:r>
    </w:p>
    <w:p>
      <w:pPr>
        <w:spacing w:after="0" w:line="1" w:lineRule="exact"/>
        <w:rPr>
          <w:rFonts w:ascii="Arial" w:cs="Arial" w:eastAsia="Arial" w:hAnsi="Arial"/>
          <w:sz w:val="14"/>
          <w:szCs w:val="14"/>
          <w:color w:val="auto"/>
        </w:rPr>
      </w:pPr>
    </w:p>
    <w:p>
      <w:pPr>
        <w:jc w:val="both"/>
        <w:ind w:left="340" w:hanging="332"/>
        <w:spacing w:after="0" w:line="272"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total NDT derivative assets and liabilities that are not material, which have notional amounts of $1,053 million and $810 million as of March 31, 2026 and December 31, 2025, respectively. The notional principal amounts provide one measure of the transaction volume outstanding as of the periods ended and do not represent the amount of our exposure to credit or market loss.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Note 14 — Fair Value of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March 31, 2026, our NDTs have outstanding commitments to invest in private credit, private equity, and real assets of $493 million, $445 million, and $656 million, respectively. These commitments will be funded by our existing NDT funds.</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Equity Security Investments without Readily Determinable Fair Values. </w:t>
      </w:r>
      <w:r>
        <w:rPr>
          <w:rFonts w:ascii="Arial" w:cs="Arial" w:eastAsia="Arial" w:hAnsi="Arial"/>
          <w:sz w:val="16"/>
          <w:szCs w:val="16"/>
          <w:color w:val="auto"/>
        </w:rPr>
        <w:t>We hold investments without readily determinable fair values with carrying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of $113 million and $109 million as of March 31, 2026 and December 31, 2025, respectively. Changes in fair value, cumulative adjustments, and impairments were not material for the three months ended March 31, 2026 and the year ended December 31, 2025.</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Level 3 Assets and Liabilities</w:t>
      </w:r>
    </w:p>
    <w:p>
      <w:pPr>
        <w:spacing w:after="0" w:line="1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tables present the fair value reconciliation of Level 3 assets and liabilities measured at fair value on a recurring basis during the three months ended March 31, 2026 and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3"/>
          </w:tcPr>
          <w:p>
            <w:pPr>
              <w:ind w:left="340"/>
              <w:spacing w:after="0"/>
              <w:rPr>
                <w:sz w:val="20"/>
                <w:szCs w:val="20"/>
                <w:color w:val="auto"/>
              </w:rPr>
            </w:pPr>
            <w:r>
              <w:rPr>
                <w:rFonts w:ascii="Arial" w:cs="Arial" w:eastAsia="Arial" w:hAnsi="Arial"/>
                <w:sz w:val="13"/>
                <w:szCs w:val="13"/>
                <w:b w:val="1"/>
                <w:bCs w:val="1"/>
                <w:color w:val="auto"/>
              </w:rPr>
              <w:t>Three Months Ended March 31, 2026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620" w:type="dxa"/>
            <w:vAlign w:val="bottom"/>
            <w:gridSpan w:val="3"/>
          </w:tcPr>
          <w:p>
            <w:pPr>
              <w:ind w:left="60"/>
              <w:spacing w:after="0"/>
              <w:rPr>
                <w:sz w:val="20"/>
                <w:szCs w:val="20"/>
                <w:color w:val="auto"/>
              </w:rPr>
            </w:pPr>
            <w:r>
              <w:rPr>
                <w:rFonts w:ascii="Arial" w:cs="Arial" w:eastAsia="Arial" w:hAnsi="Arial"/>
                <w:sz w:val="13"/>
                <w:szCs w:val="13"/>
                <w:b w:val="1"/>
                <w:bCs w:val="1"/>
                <w:color w:val="auto"/>
              </w:rPr>
              <w:t>NDT Fund Investments</w:t>
            </w:r>
          </w:p>
        </w:tc>
        <w:tc>
          <w:tcPr>
            <w:tcW w:w="260" w:type="dxa"/>
            <w:vAlign w:val="bottom"/>
          </w:tcPr>
          <w:p>
            <w:pPr>
              <w:spacing w:after="0"/>
              <w:rPr>
                <w:sz w:val="15"/>
                <w:szCs w:val="15"/>
                <w:color w:val="auto"/>
              </w:rPr>
            </w:pPr>
          </w:p>
        </w:tc>
        <w:tc>
          <w:tcPr>
            <w:tcW w:w="1240" w:type="dxa"/>
            <w:vAlign w:val="bottom"/>
          </w:tcPr>
          <w:p>
            <w:pPr>
              <w:jc w:val="right"/>
              <w:ind w:right="322"/>
              <w:spacing w:after="0"/>
              <w:rPr>
                <w:sz w:val="20"/>
                <w:szCs w:val="20"/>
                <w:color w:val="auto"/>
              </w:rPr>
            </w:pPr>
            <w:r>
              <w:rPr>
                <w:rFonts w:ascii="Arial" w:cs="Arial" w:eastAsia="Arial" w:hAnsi="Arial"/>
                <w:sz w:val="13"/>
                <w:szCs w:val="13"/>
                <w:b w:val="1"/>
                <w:bCs w:val="1"/>
                <w:color w:val="auto"/>
              </w:rPr>
              <w:t>Derivatives</w:t>
            </w:r>
          </w:p>
        </w:tc>
        <w:tc>
          <w:tcPr>
            <w:tcW w:w="36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Arial" w:cs="Arial" w:eastAsia="Arial" w:hAnsi="Arial"/>
                <w:sz w:val="13"/>
                <w:szCs w:val="13"/>
                <w:b w:val="1"/>
                <w:bCs w:val="1"/>
                <w:color w:val="auto"/>
              </w:rPr>
              <w:t>Rabbi Trust Investments</w:t>
            </w:r>
          </w:p>
        </w:tc>
        <w:tc>
          <w:tcPr>
            <w:tcW w:w="360" w:type="dxa"/>
            <w:vAlign w:val="bottom"/>
          </w:tcPr>
          <w:p>
            <w:pPr>
              <w:spacing w:after="0"/>
              <w:rPr>
                <w:sz w:val="15"/>
                <w:szCs w:val="15"/>
                <w:color w:val="auto"/>
              </w:rPr>
            </w:pPr>
          </w:p>
        </w:tc>
        <w:tc>
          <w:tcPr>
            <w:tcW w:w="116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1, 2026</w:t>
            </w:r>
          </w:p>
        </w:tc>
        <w:tc>
          <w:tcPr>
            <w:tcW w:w="52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auto"/>
              </w:rPr>
              <w:t>Contracts acquired at acquisition date</w:t>
            </w:r>
          </w:p>
        </w:tc>
        <w:tc>
          <w:tcPr>
            <w:tcW w:w="5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1,290</w:t>
            </w:r>
          </w:p>
        </w:tc>
        <w:tc>
          <w:tcPr>
            <w:tcW w:w="360" w:type="dxa"/>
            <w:vAlign w:val="bottom"/>
          </w:tcPr>
          <w:p>
            <w:pPr>
              <w:ind w:left="20"/>
              <w:spacing w:after="0"/>
              <w:rPr>
                <w:sz w:val="20"/>
                <w:szCs w:val="20"/>
                <w:color w:val="auto"/>
              </w:rPr>
            </w:pPr>
            <w:r>
              <w:rPr>
                <w:rFonts w:ascii="Arial" w:cs="Arial" w:eastAsia="Arial" w:hAnsi="Arial"/>
                <w:sz w:val="11"/>
                <w:szCs w:val="11"/>
                <w:color w:val="auto"/>
              </w:rPr>
              <w:t>(a)</w:t>
            </w:r>
          </w:p>
        </w:tc>
        <w:tc>
          <w:tcPr>
            <w:tcW w:w="1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realized / unrealized gains (losses)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6"/>
                <w:szCs w:val="16"/>
                <w:color w:val="auto"/>
              </w:rPr>
              <w:t>Included in net income (loss)</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848</w:t>
            </w:r>
          </w:p>
        </w:tc>
        <w:tc>
          <w:tcPr>
            <w:tcW w:w="360" w:type="dxa"/>
            <w:vAlign w:val="bottom"/>
          </w:tcPr>
          <w:p>
            <w:pPr>
              <w:ind w:left="20"/>
              <w:spacing w:after="0"/>
              <w:rPr>
                <w:sz w:val="20"/>
                <w:szCs w:val="20"/>
                <w:color w:val="auto"/>
              </w:rPr>
            </w:pPr>
            <w:r>
              <w:rPr>
                <w:rFonts w:ascii="Arial" w:cs="Arial" w:eastAsia="Arial" w:hAnsi="Arial"/>
                <w:sz w:val="11"/>
                <w:szCs w:val="11"/>
                <w:color w:val="auto"/>
              </w:rPr>
              <w:t>(b)</w:t>
            </w:r>
          </w:p>
        </w:tc>
        <w:tc>
          <w:tcPr>
            <w:tcW w:w="1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0" w:type="dxa"/>
            <w:vAlign w:val="bottom"/>
            <w:shd w:val="clear" w:color="auto" w:fill="CCEEFF"/>
          </w:tcPr>
          <w:p>
            <w:pPr>
              <w:ind w:left="340"/>
              <w:spacing w:after="0" w:line="163" w:lineRule="exact"/>
              <w:rPr>
                <w:sz w:val="20"/>
                <w:szCs w:val="20"/>
                <w:color w:val="auto"/>
              </w:rPr>
            </w:pPr>
            <w:r>
              <w:rPr>
                <w:rFonts w:ascii="Arial" w:cs="Arial" w:eastAsia="Arial" w:hAnsi="Arial"/>
                <w:sz w:val="16"/>
                <w:szCs w:val="16"/>
                <w:color w:val="auto"/>
              </w:rPr>
              <w:t>Included in Payables related to Regulatory Agreement</w:t>
            </w:r>
          </w:p>
        </w:tc>
        <w:tc>
          <w:tcPr>
            <w:tcW w:w="5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Units</w:t>
            </w:r>
          </w:p>
        </w:tc>
        <w:tc>
          <w:tcPr>
            <w:tcW w:w="5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auto"/>
              </w:rPr>
              <w:t>Change in collateral</w:t>
            </w:r>
          </w:p>
        </w:tc>
        <w:tc>
          <w:tcPr>
            <w:tcW w:w="5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auto"/>
              </w:rPr>
              <w:t>Sales</w:t>
            </w:r>
          </w:p>
        </w:tc>
        <w:tc>
          <w:tcPr>
            <w:tcW w:w="5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into Level 3</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w:t>
            </w:r>
          </w:p>
        </w:tc>
        <w:tc>
          <w:tcPr>
            <w:tcW w:w="1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auto"/>
              </w:rPr>
              <w:t>Transfers out of Level 3</w:t>
            </w:r>
          </w:p>
        </w:tc>
        <w:tc>
          <w:tcPr>
            <w:tcW w:w="5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w:t>
            </w:r>
          </w:p>
        </w:tc>
        <w:tc>
          <w:tcPr>
            <w:tcW w:w="360" w:type="dxa"/>
            <w:vAlign w:val="bottom"/>
          </w:tcPr>
          <w:p>
            <w:pPr>
              <w:ind w:left="20"/>
              <w:spacing w:after="0"/>
              <w:rPr>
                <w:sz w:val="20"/>
                <w:szCs w:val="20"/>
                <w:color w:val="auto"/>
              </w:rPr>
            </w:pPr>
            <w:r>
              <w:rPr>
                <w:rFonts w:ascii="Arial" w:cs="Arial" w:eastAsia="Arial" w:hAnsi="Arial"/>
                <w:sz w:val="11"/>
                <w:szCs w:val="11"/>
                <w:color w:val="auto"/>
              </w:rPr>
              <w:t>(c)</w:t>
            </w:r>
          </w:p>
        </w:tc>
        <w:tc>
          <w:tcPr>
            <w:tcW w:w="1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acquired contracts</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auto"/>
              </w:rPr>
              <w:t>Balance as of March 31, 2026</w:t>
            </w:r>
          </w:p>
        </w:tc>
        <w:tc>
          <w:tcPr>
            <w:tcW w:w="52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2,173</w:t>
            </w:r>
          </w:p>
        </w:tc>
        <w:tc>
          <w:tcPr>
            <w:tcW w:w="36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The amount of total gains (losses) included in income attributed</w:t>
            </w:r>
          </w:p>
        </w:tc>
        <w:tc>
          <w:tcPr>
            <w:tcW w:w="5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to the change in unrealized gains (losses) related to assets and</w:t>
            </w:r>
          </w:p>
        </w:tc>
        <w:tc>
          <w:tcPr>
            <w:tcW w:w="520" w:type="dxa"/>
            <w:vAlign w:val="bottom"/>
            <w:vMerge w:val="restart"/>
            <w:shd w:val="clear" w:color="auto" w:fill="CCEEFF"/>
          </w:tcPr>
          <w:p>
            <w:pPr>
              <w:jc w:val="right"/>
              <w:ind w:right="324"/>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as of March 31, 2026</w:t>
            </w:r>
          </w:p>
        </w:tc>
        <w:tc>
          <w:tcPr>
            <w:tcW w:w="5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0"/>
        </w:trPr>
        <w:tc>
          <w:tcPr>
            <w:tcW w:w="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14 — Fair Value of Financial Assets and Liabilities</w:t>
      </w: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3"/>
          </w:tcPr>
          <w:p>
            <w:pPr>
              <w:ind w:left="340"/>
              <w:spacing w:after="0"/>
              <w:rPr>
                <w:sz w:val="20"/>
                <w:szCs w:val="20"/>
                <w:color w:val="auto"/>
              </w:rPr>
            </w:pPr>
            <w:r>
              <w:rPr>
                <w:rFonts w:ascii="Arial" w:cs="Arial" w:eastAsia="Arial" w:hAnsi="Arial"/>
                <w:sz w:val="13"/>
                <w:szCs w:val="13"/>
                <w:b w:val="1"/>
                <w:bCs w:val="1"/>
                <w:color w:val="auto"/>
              </w:rPr>
              <w:t>Three Months Ended March 31, 2025</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620" w:type="dxa"/>
            <w:vAlign w:val="bottom"/>
            <w:gridSpan w:val="3"/>
          </w:tcPr>
          <w:p>
            <w:pPr>
              <w:ind w:left="60"/>
              <w:spacing w:after="0"/>
              <w:rPr>
                <w:sz w:val="20"/>
                <w:szCs w:val="20"/>
                <w:color w:val="auto"/>
              </w:rPr>
            </w:pPr>
            <w:r>
              <w:rPr>
                <w:rFonts w:ascii="Arial" w:cs="Arial" w:eastAsia="Arial" w:hAnsi="Arial"/>
                <w:sz w:val="13"/>
                <w:szCs w:val="13"/>
                <w:b w:val="1"/>
                <w:bCs w:val="1"/>
                <w:color w:val="auto"/>
              </w:rPr>
              <w:t>NDT Fund Investments</w:t>
            </w:r>
          </w:p>
        </w:tc>
        <w:tc>
          <w:tcPr>
            <w:tcW w:w="2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Arial" w:cs="Arial" w:eastAsia="Arial" w:hAnsi="Arial"/>
                <w:sz w:val="13"/>
                <w:szCs w:val="13"/>
                <w:b w:val="1"/>
                <w:bCs w:val="1"/>
                <w:color w:val="auto"/>
              </w:rPr>
              <w:t>Derivatives</w:t>
            </w:r>
          </w:p>
        </w:tc>
        <w:tc>
          <w:tcPr>
            <w:tcW w:w="38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Arial" w:cs="Arial" w:eastAsia="Arial" w:hAnsi="Arial"/>
                <w:sz w:val="13"/>
                <w:szCs w:val="13"/>
                <w:b w:val="1"/>
                <w:bCs w:val="1"/>
                <w:color w:val="auto"/>
              </w:rPr>
              <w:t>Rabbi Trust Investments</w:t>
            </w:r>
          </w:p>
        </w:tc>
        <w:tc>
          <w:tcPr>
            <w:tcW w:w="360" w:type="dxa"/>
            <w:vAlign w:val="bottom"/>
          </w:tcPr>
          <w:p>
            <w:pPr>
              <w:spacing w:after="0"/>
              <w:rPr>
                <w:sz w:val="15"/>
                <w:szCs w:val="15"/>
                <w:color w:val="auto"/>
              </w:rPr>
            </w:pPr>
          </w:p>
        </w:tc>
        <w:tc>
          <w:tcPr>
            <w:tcW w:w="1140" w:type="dxa"/>
            <w:vAlign w:val="bottom"/>
          </w:tcPr>
          <w:p>
            <w:pPr>
              <w:jc w:val="right"/>
              <w:ind w:right="52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1, 2025</w:t>
            </w:r>
          </w:p>
        </w:tc>
        <w:tc>
          <w:tcPr>
            <w:tcW w:w="620" w:type="dxa"/>
            <w:vAlign w:val="bottom"/>
            <w:shd w:val="clear" w:color="auto" w:fill="CCEEFF"/>
          </w:tcPr>
          <w:p>
            <w:pPr>
              <w:jc w:val="right"/>
              <w:ind w:right="444"/>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Total realized / unrealized gains (losses)</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Included in net income (loss)</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380" w:type="dxa"/>
            <w:vAlign w:val="bottom"/>
            <w:shd w:val="clear" w:color="auto" w:fill="CCEEFF"/>
          </w:tcPr>
          <w:p>
            <w:pPr>
              <w:jc w:val="right"/>
              <w:ind w:right="167"/>
              <w:spacing w:after="0"/>
              <w:rPr>
                <w:sz w:val="20"/>
                <w:szCs w:val="20"/>
                <w:color w:val="auto"/>
              </w:rPr>
            </w:pPr>
            <w:r>
              <w:rPr>
                <w:rFonts w:ascii="Arial" w:cs="Arial" w:eastAsia="Arial" w:hAnsi="Arial"/>
                <w:sz w:val="11"/>
                <w:szCs w:val="11"/>
                <w:color w:val="auto"/>
              </w:rPr>
              <w:t>(b)</w:t>
            </w: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Change in collateral</w:t>
            </w:r>
          </w:p>
        </w:tc>
        <w:tc>
          <w:tcPr>
            <w:tcW w:w="6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Sales</w:t>
            </w:r>
          </w:p>
        </w:tc>
        <w:tc>
          <w:tcPr>
            <w:tcW w:w="6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Transfers into Level 3</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jc w:val="right"/>
              <w:ind w:right="167"/>
              <w:spacing w:after="0"/>
              <w:rPr>
                <w:sz w:val="20"/>
                <w:szCs w:val="20"/>
                <w:color w:val="auto"/>
              </w:rPr>
            </w:pPr>
            <w:r>
              <w:rPr>
                <w:rFonts w:ascii="Arial" w:cs="Arial" w:eastAsia="Arial" w:hAnsi="Arial"/>
                <w:sz w:val="11"/>
                <w:szCs w:val="11"/>
                <w:color w:val="auto"/>
              </w:rPr>
              <w:t>(c)</w:t>
            </w:r>
          </w:p>
        </w:tc>
        <w:tc>
          <w:tcPr>
            <w:tcW w:w="10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out of Level 3</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7"/>
              <w:spacing w:after="0" w:line="216" w:lineRule="exact"/>
              <w:rPr>
                <w:sz w:val="20"/>
                <w:szCs w:val="20"/>
                <w:color w:val="auto"/>
              </w:rPr>
            </w:pPr>
            <w:r>
              <w:rPr>
                <w:rFonts w:ascii="Arial" w:cs="Arial" w:eastAsia="Arial" w:hAnsi="Arial"/>
                <w:sz w:val="25"/>
                <w:szCs w:val="25"/>
                <w:color w:val="auto"/>
                <w:vertAlign w:val="subscript"/>
              </w:rPr>
              <w:t>36</w:t>
            </w:r>
            <w:r>
              <w:rPr>
                <w:rFonts w:ascii="Arial" w:cs="Arial" w:eastAsia="Arial" w:hAnsi="Arial"/>
                <w:sz w:val="9"/>
                <w:szCs w:val="9"/>
                <w:color w:val="auto"/>
              </w:rPr>
              <w:t xml:space="preserve"> (c)</w:t>
            </w: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Balance as of March 31, 2025</w:t>
            </w:r>
          </w:p>
        </w:tc>
        <w:tc>
          <w:tcPr>
            <w:tcW w:w="62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8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The amount of total gains (losses) included in income attributed</w:t>
            </w:r>
          </w:p>
        </w:tc>
        <w:tc>
          <w:tcPr>
            <w:tcW w:w="6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to the change in unrealized gains (losses) related to assets and</w:t>
            </w:r>
          </w:p>
        </w:tc>
        <w:tc>
          <w:tcPr>
            <w:tcW w:w="620" w:type="dxa"/>
            <w:vAlign w:val="bottom"/>
            <w:vMerge w:val="restart"/>
            <w:shd w:val="clear" w:color="auto" w:fill="CCEEFF"/>
          </w:tcPr>
          <w:p>
            <w:pPr>
              <w:jc w:val="right"/>
              <w:ind w:right="444"/>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3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as of March 31, 2025</w:t>
            </w:r>
          </w:p>
        </w:tc>
        <w:tc>
          <w:tcPr>
            <w:tcW w:w="6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contracts acquired as part of the Calpine acquisition in January 2026. See Note 2 — Mergers, Acquisitions, and Dispositions for additional information.</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an addition of $89 million for realized losses and reduction of ($35) million for realized gains due to the settlement of derivative contracts for the three months ended March 31, 2026 and 2025, respectively.</w:t>
      </w:r>
    </w:p>
    <w:p>
      <w:pPr>
        <w:ind w:left="340" w:hanging="332"/>
        <w:spacing w:after="0" w:line="284"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Transfers into and out of Level 3 generally occur when the contract tenor becomes less and more observable, respectively, primarily due to changes in market liquidity or assumptions for certain commodity contracts.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presents the income statement classification of the total realized and unrealized gains (losses) included in income for Level 3 assets and liabilities measured at fair value on a recurring basis during the three months ended March 31, 2026 and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3"/>
                <w:szCs w:val="13"/>
                <w:b w:val="1"/>
                <w:bCs w:val="1"/>
                <w:color w:val="auto"/>
                <w:w w:val="96"/>
              </w:rPr>
              <w:t>Three Months Ended March 31,</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71"/>
        </w:trPr>
        <w:tc>
          <w:tcPr>
            <w:tcW w:w="3580" w:type="dxa"/>
            <w:vAlign w:val="bottom"/>
          </w:tcPr>
          <w:p>
            <w:pPr>
              <w:spacing w:after="0"/>
              <w:rPr>
                <w:sz w:val="14"/>
                <w:szCs w:val="14"/>
                <w:color w:val="auto"/>
              </w:rPr>
            </w:pPr>
          </w:p>
        </w:tc>
        <w:tc>
          <w:tcPr>
            <w:tcW w:w="2180" w:type="dxa"/>
            <w:vAlign w:val="bottom"/>
            <w:gridSpan w:val="4"/>
          </w:tcPr>
          <w:p>
            <w:pPr>
              <w:jc w:val="right"/>
              <w:ind w:right="265"/>
              <w:spacing w:after="0"/>
              <w:rPr>
                <w:sz w:val="20"/>
                <w:szCs w:val="20"/>
                <w:color w:val="auto"/>
              </w:rPr>
            </w:pPr>
            <w:r>
              <w:rPr>
                <w:rFonts w:ascii="Arial" w:cs="Arial" w:eastAsia="Arial" w:hAnsi="Arial"/>
                <w:sz w:val="13"/>
                <w:szCs w:val="13"/>
                <w:b w:val="1"/>
                <w:bCs w:val="1"/>
                <w:color w:val="auto"/>
              </w:rPr>
              <w:t>Operating Revenues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7"/>
              </w:rPr>
              <w:t>Purchased Power and Fuel</w:t>
            </w:r>
          </w:p>
        </w:tc>
        <w:tc>
          <w:tcPr>
            <w:tcW w:w="280" w:type="dxa"/>
            <w:vAlign w:val="bottom"/>
          </w:tcPr>
          <w:p>
            <w:pPr>
              <w:spacing w:after="0"/>
              <w:rPr>
                <w:sz w:val="14"/>
                <w:szCs w:val="14"/>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3"/>
                <w:szCs w:val="13"/>
                <w:b w:val="1"/>
                <w:bCs w:val="1"/>
                <w:color w:val="auto"/>
              </w:rPr>
              <w:t>Other, net</w:t>
            </w:r>
          </w:p>
        </w:tc>
        <w:tc>
          <w:tcPr>
            <w:tcW w:w="840" w:type="dxa"/>
            <w:vAlign w:val="bottom"/>
          </w:tcPr>
          <w:p>
            <w:pPr>
              <w:spacing w:after="0"/>
              <w:rPr>
                <w:sz w:val="14"/>
                <w:szCs w:val="14"/>
                <w:color w:val="auto"/>
              </w:rPr>
            </w:pPr>
          </w:p>
        </w:tc>
      </w:tr>
      <w:tr>
        <w:trPr>
          <w:trHeight w:val="176"/>
        </w:trPr>
        <w:tc>
          <w:tcPr>
            <w:tcW w:w="35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85"/>
              <w:spacing w:after="0"/>
              <w:rPr>
                <w:sz w:val="20"/>
                <w:szCs w:val="20"/>
                <w:color w:val="auto"/>
              </w:rPr>
            </w:pPr>
            <w:r>
              <w:rPr>
                <w:rFonts w:ascii="Arial" w:cs="Arial" w:eastAsia="Arial" w:hAnsi="Arial"/>
                <w:sz w:val="13"/>
                <w:szCs w:val="13"/>
                <w:b w:val="1"/>
                <w:bCs w:val="1"/>
                <w:color w:val="auto"/>
              </w:rPr>
              <w:t>2025</w:t>
            </w:r>
          </w:p>
        </w:tc>
        <w:tc>
          <w:tcPr>
            <w:tcW w:w="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65"/>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5"/>
              <w:spacing w:after="0"/>
              <w:rPr>
                <w:sz w:val="20"/>
                <w:szCs w:val="20"/>
                <w:color w:val="auto"/>
              </w:rPr>
            </w:pPr>
            <w:r>
              <w:rPr>
                <w:rFonts w:ascii="Arial" w:cs="Arial" w:eastAsia="Arial" w:hAnsi="Arial"/>
                <w:sz w:val="13"/>
                <w:szCs w:val="13"/>
                <w:b w:val="1"/>
                <w:bCs w:val="1"/>
                <w:color w:val="auto"/>
              </w:rPr>
              <w:t>2025</w:t>
            </w:r>
          </w:p>
        </w:tc>
      </w:tr>
      <w:tr>
        <w:trPr>
          <w:trHeight w:val="22"/>
        </w:trPr>
        <w:tc>
          <w:tcPr>
            <w:tcW w:w="35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gains (losses) included in net income</w:t>
            </w:r>
          </w:p>
        </w:tc>
        <w:tc>
          <w:tcPr>
            <w:tcW w:w="780" w:type="dxa"/>
            <w:vAlign w:val="bottom"/>
            <w:shd w:val="clear" w:color="auto" w:fill="CCEEFF"/>
          </w:tcPr>
          <w:p>
            <w:pPr>
              <w:jc w:val="right"/>
              <w:ind w:right="61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w:t>
            </w:r>
          </w:p>
        </w:tc>
      </w:tr>
      <w:tr>
        <w:trPr>
          <w:trHeight w:val="228"/>
        </w:trPr>
        <w:tc>
          <w:tcPr>
            <w:tcW w:w="3580" w:type="dxa"/>
            <w:vAlign w:val="bottom"/>
          </w:tcPr>
          <w:p>
            <w:pPr>
              <w:ind w:left="20"/>
              <w:spacing w:after="0"/>
              <w:rPr>
                <w:sz w:val="20"/>
                <w:szCs w:val="20"/>
                <w:color w:val="auto"/>
              </w:rPr>
            </w:pPr>
            <w:r>
              <w:rPr>
                <w:rFonts w:ascii="Arial" w:cs="Arial" w:eastAsia="Arial" w:hAnsi="Arial"/>
                <w:sz w:val="16"/>
                <w:szCs w:val="16"/>
                <w:color w:val="auto"/>
              </w:rPr>
              <w:t>Total unrealized gains (losses)</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5"/>
              <w:spacing w:after="0"/>
              <w:rPr>
                <w:sz w:val="20"/>
                <w:szCs w:val="20"/>
                <w:color w:val="auto"/>
              </w:rPr>
            </w:pPr>
            <w:r>
              <w:rPr>
                <w:rFonts w:ascii="Arial" w:cs="Arial" w:eastAsia="Arial" w:hAnsi="Arial"/>
                <w:sz w:val="16"/>
                <w:szCs w:val="16"/>
                <w:color w:val="auto"/>
              </w:rPr>
              <w:t>1</w:t>
            </w:r>
          </w:p>
        </w:tc>
      </w:tr>
      <w:tr>
        <w:trPr>
          <w:trHeight w:val="823"/>
        </w:trPr>
        <w:tc>
          <w:tcPr>
            <w:tcW w:w="3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60"/>
        </w:trPr>
        <w:tc>
          <w:tcPr>
            <w:tcW w:w="35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14 — Fair Value of Financial Assets and Liabilities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inputs to the forward curve used to value these positions: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Type of trade</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 as of</w:t>
            </w: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Fair Value as of</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Valuation</w:t>
            </w:r>
          </w:p>
        </w:tc>
        <w:tc>
          <w:tcPr>
            <w:tcW w:w="15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Unobservable Input</w:t>
            </w:r>
          </w:p>
        </w:tc>
        <w:tc>
          <w:tcPr>
            <w:tcW w:w="120" w:type="dxa"/>
            <w:vAlign w:val="bottom"/>
            <w:vMerge w:val="restart"/>
          </w:tcPr>
          <w:p>
            <w:pPr>
              <w:spacing w:after="0"/>
              <w:rPr>
                <w:sz w:val="14"/>
                <w:szCs w:val="14"/>
                <w:color w:val="auto"/>
              </w:rPr>
            </w:pPr>
          </w:p>
        </w:tc>
        <w:tc>
          <w:tcPr>
            <w:tcW w:w="20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2026 Range &amp; Arithmetic</w:t>
            </w:r>
          </w:p>
        </w:tc>
        <w:tc>
          <w:tcPr>
            <w:tcW w:w="1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2025 Range &amp; Arithmetic</w:t>
            </w:r>
          </w:p>
        </w:tc>
        <w:tc>
          <w:tcPr>
            <w:tcW w:w="0" w:type="dxa"/>
            <w:vAlign w:val="bottom"/>
          </w:tcPr>
          <w:p>
            <w:pPr>
              <w:spacing w:after="0"/>
              <w:rPr>
                <w:sz w:val="1"/>
                <w:szCs w:val="1"/>
                <w:color w:val="auto"/>
              </w:rPr>
            </w:pPr>
          </w:p>
        </w:tc>
      </w:tr>
      <w:tr>
        <w:trPr>
          <w:trHeight w:val="176"/>
        </w:trPr>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March 31, 2026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7"/>
              </w:rPr>
              <w:t>December 31, 2025</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Technique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360" w:type="dxa"/>
            <w:vAlign w:val="bottom"/>
            <w:tcBorders>
              <w:bottom w:val="single" w:sz="8" w:color="auto"/>
            </w:tcBorders>
          </w:tcPr>
          <w:p>
            <w:pPr>
              <w:jc w:val="center"/>
              <w:ind w:left="534"/>
              <w:spacing w:after="0"/>
              <w:rPr>
                <w:sz w:val="20"/>
                <w:szCs w:val="20"/>
                <w:color w:val="auto"/>
              </w:rPr>
            </w:pPr>
            <w:r>
              <w:rPr>
                <w:rFonts w:ascii="Arial" w:cs="Arial" w:eastAsia="Arial" w:hAnsi="Arial"/>
                <w:sz w:val="13"/>
                <w:szCs w:val="13"/>
                <w:b w:val="1"/>
                <w:bCs w:val="1"/>
                <w:color w:val="auto"/>
                <w:w w:val="93"/>
              </w:rPr>
              <w:t>Average</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ind w:left="534"/>
              <w:spacing w:after="0"/>
              <w:rPr>
                <w:sz w:val="20"/>
                <w:szCs w:val="20"/>
                <w:color w:val="auto"/>
              </w:rPr>
            </w:pPr>
            <w:r>
              <w:rPr>
                <w:rFonts w:ascii="Arial" w:cs="Arial" w:eastAsia="Arial" w:hAnsi="Arial"/>
                <w:sz w:val="13"/>
                <w:szCs w:val="13"/>
                <w:b w:val="1"/>
                <w:bCs w:val="1"/>
                <w:color w:val="auto"/>
                <w:w w:val="97"/>
              </w:rPr>
              <w:t>Average</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Level 3 Derivatives</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—Economic</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Discounted Cash</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Forward power price</w:t>
            </w:r>
          </w:p>
        </w:tc>
        <w:tc>
          <w:tcPr>
            <w:tcW w:w="1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hedges</w:t>
            </w:r>
            <w:r>
              <w:rPr>
                <w:rFonts w:ascii="Arial" w:cs="Arial" w:eastAsia="Arial" w:hAnsi="Arial"/>
                <w:sz w:val="17"/>
                <w:szCs w:val="17"/>
                <w:color w:val="auto"/>
                <w:vertAlign w:val="superscript"/>
              </w:rPr>
              <w:t>(a)(b)</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Flow</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(Non-congestion)</w:t>
            </w: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$2.43 - $181</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$4.77 - $154</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Arial" w:cs="Arial" w:eastAsia="Arial" w:hAnsi="Arial"/>
                <w:sz w:val="13"/>
                <w:szCs w:val="13"/>
                <w:color w:val="auto"/>
              </w:rPr>
              <w:t>Forward power price</w:t>
            </w: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Arial" w:cs="Arial" w:eastAsia="Arial" w:hAnsi="Arial"/>
                <w:sz w:val="13"/>
                <w:szCs w:val="13"/>
                <w:color w:val="auto"/>
              </w:rPr>
              <w:t>(Congestion)</w:t>
            </w:r>
          </w:p>
        </w:tc>
        <w:tc>
          <w:tcPr>
            <w:tcW w:w="1360" w:type="dxa"/>
            <w:vAlign w:val="bottom"/>
          </w:tcPr>
          <w:p>
            <w:pPr>
              <w:jc w:val="center"/>
              <w:spacing w:after="0"/>
              <w:rPr>
                <w:sz w:val="20"/>
                <w:szCs w:val="20"/>
                <w:color w:val="auto"/>
              </w:rPr>
            </w:pPr>
            <w:r>
              <w:rPr>
                <w:rFonts w:ascii="Arial" w:cs="Arial" w:eastAsia="Arial" w:hAnsi="Arial"/>
                <w:sz w:val="13"/>
                <w:szCs w:val="13"/>
                <w:color w:val="auto"/>
              </w:rPr>
              <w:t>$1.61 - $180</w:t>
            </w:r>
          </w:p>
        </w:tc>
        <w:tc>
          <w:tcPr>
            <w:tcW w:w="600" w:type="dxa"/>
            <w:vAlign w:val="bottom"/>
          </w:tcPr>
          <w:p>
            <w:pPr>
              <w:jc w:val="center"/>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$3.14 - $154</w:t>
            </w:r>
          </w:p>
        </w:tc>
        <w:tc>
          <w:tcPr>
            <w:tcW w:w="600" w:type="dxa"/>
            <w:vAlign w:val="bottom"/>
          </w:tcPr>
          <w:p>
            <w:pPr>
              <w:jc w:val="center"/>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Forward gas price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($2.93) - $21</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$3.20</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($0.46) - $15</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Option Model</w:t>
            </w:r>
          </w:p>
        </w:tc>
        <w:tc>
          <w:tcPr>
            <w:tcW w:w="1620" w:type="dxa"/>
            <w:vAlign w:val="bottom"/>
            <w:gridSpan w:val="2"/>
          </w:tcPr>
          <w:p>
            <w:pPr>
              <w:ind w:left="20"/>
              <w:spacing w:after="0"/>
              <w:rPr>
                <w:sz w:val="20"/>
                <w:szCs w:val="20"/>
                <w:color w:val="auto"/>
              </w:rPr>
            </w:pPr>
            <w:r>
              <w:rPr>
                <w:rFonts w:ascii="Arial" w:cs="Arial" w:eastAsia="Arial" w:hAnsi="Arial"/>
                <w:sz w:val="13"/>
                <w:szCs w:val="13"/>
                <w:color w:val="auto"/>
              </w:rPr>
              <w:t>Volatility percentage</w:t>
            </w:r>
          </w:p>
        </w:tc>
        <w:tc>
          <w:tcPr>
            <w:tcW w:w="1360" w:type="dxa"/>
            <w:vAlign w:val="bottom"/>
          </w:tcPr>
          <w:p>
            <w:pPr>
              <w:jc w:val="center"/>
              <w:spacing w:after="0"/>
              <w:rPr>
                <w:sz w:val="20"/>
                <w:szCs w:val="20"/>
                <w:color w:val="auto"/>
              </w:rPr>
            </w:pPr>
            <w:r>
              <w:rPr>
                <w:rFonts w:ascii="Arial" w:cs="Arial" w:eastAsia="Arial" w:hAnsi="Arial"/>
                <w:sz w:val="13"/>
                <w:szCs w:val="13"/>
                <w:color w:val="auto"/>
              </w:rPr>
              <w:t>10% - 110%</w:t>
            </w:r>
          </w:p>
        </w:tc>
        <w:tc>
          <w:tcPr>
            <w:tcW w:w="600" w:type="dxa"/>
            <w:vAlign w:val="bottom"/>
          </w:tcPr>
          <w:p>
            <w:pPr>
              <w:jc w:val="center"/>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14% - 197%</w:t>
            </w:r>
          </w:p>
        </w:tc>
        <w:tc>
          <w:tcPr>
            <w:tcW w:w="600" w:type="dxa"/>
            <w:vAlign w:val="bottom"/>
          </w:tcPr>
          <w:p>
            <w:pPr>
              <w:jc w:val="center"/>
              <w:spacing w:after="0"/>
              <w:rPr>
                <w:sz w:val="20"/>
                <w:szCs w:val="20"/>
                <w:color w:val="auto"/>
              </w:rPr>
            </w:pPr>
            <w:r>
              <w:rPr>
                <w:rFonts w:ascii="Arial" w:cs="Arial" w:eastAsia="Arial" w:hAnsi="Arial"/>
                <w:sz w:val="13"/>
                <w:szCs w:val="13"/>
                <w:color w:val="auto"/>
                <w:w w:val="99"/>
              </w:rPr>
              <w:t>59%</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valuation techniques, unobservable inputs, ranges, and arithmetic averages are the same for the asset and liability positions.</w:t>
      </w:r>
    </w:p>
    <w:p>
      <w:pPr>
        <w:spacing w:after="0" w:line="15" w:lineRule="exact"/>
        <w:rPr>
          <w:rFonts w:ascii="Arial" w:cs="Arial" w:eastAsia="Arial" w:hAnsi="Arial"/>
          <w:sz w:val="14"/>
          <w:szCs w:val="14"/>
          <w:color w:val="auto"/>
        </w:rPr>
      </w:pPr>
    </w:p>
    <w:p>
      <w:pPr>
        <w:ind w:left="340" w:hanging="332"/>
        <w:spacing w:after="0" w:line="262"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fair values do not include cash collateral posted (received) on Level 3 positions of $479 million and $372 million as of March 31, 2026 and December 31, 2025, respectively.</w:t>
      </w: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inputs listed above, which are as of the balance sheet date, would have a direct impact on the fair values of the above instruments if they were adjusted. The significant unobservable inputs used in the fair value measurement of our commodity derivatives are forward commodity prices and for options is price volatility. Increases (decreases) in the forward commodity price in isolation would result in significantly higher (lower) fair values for long positions (contracts that give us the obligation or option to purchase a commodity), with offsetting impacts to short positions (contracts that give us the obligation or right to sell a commodity). Increases (decreases) in volatility would increase (decrease) the value for the holder of the option (writer of the option). Generally, a change in the estimate of forward commodity prices is unrelated to a change in the estimate of volatility of prices. An increase to the heat rate or renewable factors would increase the fair value accordingly. Generally, interrelationships exist between market prices of natural gas and power. As such, an increase in natural gas pricing would potentially have a similar impact on forward power markets.</w:t>
      </w:r>
    </w:p>
    <w:p>
      <w:pPr>
        <w:spacing w:after="0" w:line="140" w:lineRule="exact"/>
        <w:rPr>
          <w:sz w:val="20"/>
          <w:szCs w:val="20"/>
          <w:color w:val="auto"/>
        </w:rPr>
      </w:pPr>
    </w:p>
    <w:p>
      <w:pPr>
        <w:ind w:right="8380" w:firstLine="8"/>
        <w:spacing w:after="0" w:line="457" w:lineRule="auto"/>
        <w:tabs>
          <w:tab w:leader="none" w:pos="27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Commitments</w:t>
      </w:r>
    </w:p>
    <w:p>
      <w:pPr>
        <w:spacing w:after="0" w:line="1"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i w:val="1"/>
          <w:iCs w:val="1"/>
          <w:color w:val="auto"/>
        </w:rPr>
        <w:t xml:space="preserve">Commercial Commitments. </w:t>
      </w:r>
      <w:r>
        <w:rPr>
          <w:rFonts w:ascii="Arial" w:cs="Arial" w:eastAsia="Arial" w:hAnsi="Arial"/>
          <w:sz w:val="16"/>
          <w:szCs w:val="16"/>
          <w:color w:val="auto"/>
        </w:rPr>
        <w:t>Commercial commitments as of March 31, 2026, representing commitments potentially triggered by future events, were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Expiration within</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ind w:right="323"/>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ind w:right="323"/>
              <w:spacing w:after="0"/>
              <w:rPr>
                <w:sz w:val="20"/>
                <w:szCs w:val="20"/>
                <w:color w:val="auto"/>
              </w:rPr>
            </w:pPr>
            <w:r>
              <w:rPr>
                <w:rFonts w:ascii="Arial" w:cs="Arial" w:eastAsia="Arial" w:hAnsi="Arial"/>
                <w:sz w:val="13"/>
                <w:szCs w:val="13"/>
                <w:b w:val="1"/>
                <w:bCs w:val="1"/>
                <w:color w:val="auto"/>
              </w:rPr>
              <w:t>2027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ind w:right="325"/>
              <w:spacing w:after="0"/>
              <w:rPr>
                <w:sz w:val="20"/>
                <w:szCs w:val="20"/>
                <w:color w:val="auto"/>
              </w:rPr>
            </w:pPr>
            <w:r>
              <w:rPr>
                <w:rFonts w:ascii="Arial" w:cs="Arial" w:eastAsia="Arial" w:hAnsi="Arial"/>
                <w:sz w:val="13"/>
                <w:szCs w:val="13"/>
                <w:b w:val="1"/>
                <w:bCs w:val="1"/>
                <w:color w:val="auto"/>
              </w:rPr>
              <w:t>2028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2029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ind w:right="303"/>
              <w:spacing w:after="0"/>
              <w:rPr>
                <w:sz w:val="20"/>
                <w:szCs w:val="20"/>
                <w:color w:val="auto"/>
              </w:rPr>
            </w:pPr>
            <w:r>
              <w:rPr>
                <w:rFonts w:ascii="Arial" w:cs="Arial" w:eastAsia="Arial" w:hAnsi="Arial"/>
                <w:sz w:val="13"/>
                <w:szCs w:val="13"/>
                <w:b w:val="1"/>
                <w:bCs w:val="1"/>
                <w:color w:val="auto"/>
              </w:rPr>
              <w:t>2030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80"/>
              <w:spacing w:after="0" w:line="128" w:lineRule="exact"/>
              <w:rPr>
                <w:sz w:val="20"/>
                <w:szCs w:val="20"/>
                <w:color w:val="auto"/>
              </w:rPr>
            </w:pPr>
            <w:r>
              <w:rPr>
                <w:rFonts w:ascii="Arial" w:cs="Arial" w:eastAsia="Arial" w:hAnsi="Arial"/>
                <w:sz w:val="13"/>
                <w:szCs w:val="13"/>
                <w:b w:val="1"/>
                <w:bCs w:val="1"/>
                <w:color w:val="auto"/>
              </w:rPr>
              <w:t>2031 and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thereafter</w:t>
            </w: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Letters of credit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3,402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1,036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120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4,559</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line="216" w:lineRule="exact"/>
              <w:rPr>
                <w:sz w:val="20"/>
                <w:szCs w:val="20"/>
                <w:color w:val="auto"/>
              </w:rPr>
            </w:pPr>
            <w:r>
              <w:rPr>
                <w:rFonts w:ascii="Arial" w:cs="Arial" w:eastAsia="Arial" w:hAnsi="Arial"/>
                <w:sz w:val="16"/>
                <w:szCs w:val="16"/>
                <w:color w:val="auto"/>
              </w:rPr>
              <w:t>Surety bonds</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5"/>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1,465</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Guarantee under the Calpine AR</w:t>
            </w: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Facility</w:t>
            </w:r>
            <w:r>
              <w:rPr>
                <w:rFonts w:ascii="Arial" w:cs="Arial" w:eastAsia="Arial" w:hAnsi="Arial"/>
                <w:sz w:val="21"/>
                <w:szCs w:val="21"/>
                <w:color w:val="auto"/>
                <w:vertAlign w:val="superscript"/>
              </w:rPr>
              <w:t>(b)</w:t>
            </w: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20"/>
              <w:spacing w:after="0"/>
              <w:rPr>
                <w:sz w:val="20"/>
                <w:szCs w:val="20"/>
                <w:color w:val="auto"/>
              </w:rPr>
            </w:pPr>
            <w:r>
              <w:rPr>
                <w:rFonts w:ascii="Arial" w:cs="Arial" w:eastAsia="Arial" w:hAnsi="Arial"/>
                <w:sz w:val="16"/>
                <w:szCs w:val="16"/>
                <w:color w:val="auto"/>
              </w:rPr>
              <w:t>Total commercial commitments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4,533</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1,297</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6,574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Surety bonds — Guarantees issued related to contract and commercial agreements, excluding bid bonds.</w:t>
      </w:r>
    </w:p>
    <w:p>
      <w:pPr>
        <w:spacing w:after="0" w:line="15" w:lineRule="exact"/>
        <w:rPr>
          <w:rFonts w:ascii="Arial" w:cs="Arial" w:eastAsia="Arial" w:hAnsi="Arial"/>
          <w:sz w:val="14"/>
          <w:szCs w:val="14"/>
          <w:color w:val="auto"/>
        </w:rPr>
      </w:pPr>
    </w:p>
    <w:p>
      <w:pPr>
        <w:jc w:val="both"/>
        <w:ind w:left="340" w:hanging="332"/>
        <w:spacing w:after="0" w:line="262" w:lineRule="auto"/>
        <w:tabs>
          <w:tab w:leader="none" w:pos="327"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have guaranteed the performance of Calpine Energy Solutions, LLC to Calpine Receivables, LLC under the Calpine AR Facility. The commitment represents the gross amount of sold receivables that are currently outstanding, limited to $550 million per the guarantee agreement. Refer to Note 7 — Accounts Receivable for additional information.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Note 15 —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Priority Liens for Commodity Procurement and Risk Management Activities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Following the acquisition of Calpine in January 2026, the Company has assumed additional first-priority liens on Calpine assets, which are currently subject to first priority liens under various debt agreements, as collateral under certain of our power and natural gas agreements and certain of the interest rate swaps in order to reduce the cash collateral and letters of credit that would otherwise be provided to the counterparties under such agreements. The counterparties under such agreements share the benefits of the collateral subject to such first priority liens pro rata with the lenders under various debt agreements. As of March 31, 2026, the exposure was $220 million under these first priority liens for power and natural gas agreements and no exposure for the interest rate swaps.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Remediation Matters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Our operations have in the past, and may in the future, require substantial expenditures to comply with environmental laws. Additionally,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and state environmental laws, we are generally liable for the costs of remediating environmental contamination of property currently or formerly owned by us and of property contaminated by hazardous substances generated by us. We own or lease several real estate parcels, including parcels on which our operations or the operations of others may have resulted in contamination by substances that are considered hazardous under environmental laws. In addition, we are currently involved in proceedings relating to sites where hazardous substances have been deposited and may be subject to additional proceedings in the future. Unless otherwise disclosed, we cannot reasonably estimate whether we will incur significant liabilities for additional investigation and remediation costs at these or additional sites identified by us, environmental agencies, or others. Additional costs could have a material, unfavorable impact on our consolidated financial statements.</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March 31, 2026 and December 31, 2025, we had accrued undiscounted amounts for environmental liabilities of $9 million in Accounts payable and accrued expenses and $169 million in Other deferred credits and other liabilities in the Consolidated Balance Sheets. See Note 18 — Commitments and Contingencies of our 2025 Form 10-K for additional information on environmental remediation matters. As of March 31, 2026, and through the date of filing, there have been no material changes in amounts recognized for the matters discussed in our 2025 Form 10-K.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involved in various litigation matters that are being defended and handled in the ordinary course of business. The assessment of whether a loss is probable or reasonably possible, and whether the loss or a range of loss is estimable, often involves a series of complex judgments about future events. We maintain accruals for such losses that are probable of being incurred and subject to reasonable estimation. Management is sometimes unable to estimate an amount or range of reasonably possible loss, particularly where (1) the damages sought are indeterminate, (2) the proceedings are in the early stages, or (3) the matters involve novel or unsettled legal theories. In such cases, there is considerable uncertainty regarding the timing or ultimate resolution of such matters, including a possible eventual loss.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March 31, 2026 and December 31, 2025, we had accrued $28 million and $15 million, respectively, in Accounts payable and accrued expenses and $108 million and $113 million, respectively, in Other deferred credits and other liabilities in the Consolidated Balance Sheets for liabilities related to litigation matters, including asbestos personal injury claims. See Note 18 — Commitments and Contingencies of our 2025 Form 10-K for additional information on asbestos personal injury claims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Impacts of the February 2021 Extreme Cold Weather Event and Texas-based Generating Assets Outages. </w:t>
      </w:r>
      <w:r>
        <w:rPr>
          <w:rFonts w:ascii="Arial" w:cs="Arial" w:eastAsia="Arial" w:hAnsi="Arial"/>
          <w:sz w:val="16"/>
          <w:szCs w:val="16"/>
          <w:color w:val="auto"/>
        </w:rPr>
        <w:t>Calpine was acquired on January 7, 2026,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is party to the same ongoing litigation proceedings as Constellation. See Note 18 — Commitments and Contingencies of our 2025 Form 10-K for additional information on this matter, which is likewise representative of the ongoing proceedings as it pertains to Calpine.</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March 2026, the Supreme Court of Texas denied plaintiffs’ petitions for a writ of mandamus in all five bellwether appeals. Plaintiffs have stated that they intend to seek rehearing before the Court. If the rehearing petitions in the bellwether cases are denied, the parties would return to the Multi-District-Litigation court to dispose of all of the remaining Winter Storm Uri tort claims pending against the power generator defendants.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8940"/>
        <w:spacing w:after="0"/>
        <w:rPr>
          <w:sz w:val="20"/>
          <w:szCs w:val="20"/>
          <w:color w:val="auto"/>
        </w:rPr>
      </w:pPr>
      <w:r>
        <w:rPr>
          <w:rFonts w:ascii="Arial" w:cs="Arial" w:eastAsia="Arial" w:hAnsi="Arial"/>
          <w:sz w:val="16"/>
          <w:szCs w:val="16"/>
          <w:color w:val="auto"/>
        </w:rPr>
        <w:t>Note 16 — Shareholders' Equity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Shareholders'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 Program (CEG Parent)</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2026, our Board of Directors approved a $4.4 billion increase relative to the remaining authorized amount to repurchase our outstanding common stock. No other repurchase plans or programs have been authorized. As of the date of this filing, we have approximately $4.7 billion of remaining authority for repurchases, which includes the impact of the open market repurchases, as discussed below. See Note 19 — Shareholders' Equity of our 2025 Form 10-K for additional information on our share repurchase program.</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months ended March 31, 2026 and 2025, no open market repurchases occurred. During April and May 2026, prior to this filing, we repurchased from the open market approximately 1.2 million shares of our common stock for a total cost, inclusive of taxes and transaction costs, of $338 million.</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 xml:space="preserve">Capped Call Options. </w:t>
      </w:r>
      <w:r>
        <w:rPr>
          <w:rFonts w:ascii="Arial" w:cs="Arial" w:eastAsia="Arial" w:hAnsi="Arial"/>
          <w:sz w:val="16"/>
          <w:szCs w:val="16"/>
          <w:color w:val="auto"/>
        </w:rPr>
        <w:t>During the first quarter of 2025, we entered into two structured share repurchase agreements. Under these agreements, we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up-front cash payments of $150 million in the first quarter of 2025 in exchange for the right to receive a predetermined amount of shares of our common stock or cash at expiration. Neither option was exercised during the second and third quarter of 2025, therefore we did not receive any shares at expiration. As a result, we received our initial up-front cash payments of $150 million plus a nominal cash premium during the second and third quarters of 2025. The cash received restored the remaining authority available for repurchases.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Accumulated Other Comprehensive Income (Loss) (All Registrants)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changes in AOCI, net of tax, by component: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Gains (losses) on Cash</w:t>
            </w:r>
          </w:p>
        </w:tc>
        <w:tc>
          <w:tcPr>
            <w:tcW w:w="14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Pension and OPEB</w:t>
            </w: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Three Months Ended March 31, 2026</w:t>
            </w: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Flow Hedges</w:t>
            </w: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Items</w:t>
            </w:r>
            <w:r>
              <w:rPr>
                <w:rFonts w:ascii="Arial" w:cs="Arial" w:eastAsia="Arial" w:hAnsi="Arial"/>
                <w:sz w:val="16"/>
                <w:szCs w:val="16"/>
                <w:b w:val="1"/>
                <w:bCs w:val="1"/>
                <w:color w:val="auto"/>
                <w:w w:val="89"/>
                <w:vertAlign w:val="superscript"/>
              </w:rPr>
              <w:t>(a)</w:t>
            </w:r>
          </w:p>
        </w:tc>
        <w:tc>
          <w:tcPr>
            <w:tcW w:w="1620" w:type="dxa"/>
            <w:vAlign w:val="bottom"/>
            <w:gridSpan w:val="3"/>
          </w:tcPr>
          <w:p>
            <w:pPr>
              <w:ind w:left="40"/>
              <w:spacing w:after="0"/>
              <w:rPr>
                <w:sz w:val="20"/>
                <w:szCs w:val="20"/>
                <w:color w:val="auto"/>
              </w:rPr>
            </w:pPr>
            <w:r>
              <w:rPr>
                <w:rFonts w:ascii="Arial" w:cs="Arial" w:eastAsia="Arial" w:hAnsi="Arial"/>
                <w:sz w:val="13"/>
                <w:szCs w:val="13"/>
                <w:b w:val="1"/>
                <w:bCs w:val="1"/>
                <w:color w:val="auto"/>
              </w:rPr>
              <w:t>Foreign Currency Items</w:t>
            </w:r>
          </w:p>
        </w:tc>
        <w:tc>
          <w:tcPr>
            <w:tcW w:w="36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7"/>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(2,413)</w:t>
            </w: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463"/>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0" w:type="dxa"/>
            <w:vAlign w:val="bottom"/>
          </w:tcPr>
          <w:p>
            <w:pPr>
              <w:spacing w:after="0"/>
              <w:rPr>
                <w:sz w:val="1"/>
                <w:szCs w:val="1"/>
                <w:color w:val="auto"/>
              </w:rPr>
            </w:pPr>
          </w:p>
        </w:tc>
      </w:tr>
      <w:tr>
        <w:trPr>
          <w:trHeight w:val="235"/>
        </w:trPr>
        <w:tc>
          <w:tcPr>
            <w:tcW w:w="4880" w:type="dxa"/>
            <w:vAlign w:val="bottom"/>
          </w:tcPr>
          <w:p>
            <w:pPr>
              <w:ind w:left="20"/>
              <w:spacing w:after="0"/>
              <w:rPr>
                <w:sz w:val="20"/>
                <w:szCs w:val="20"/>
                <w:color w:val="auto"/>
              </w:rPr>
            </w:pPr>
            <w:r>
              <w:rPr>
                <w:rFonts w:ascii="Arial" w:cs="Arial" w:eastAsia="Arial" w:hAnsi="Arial"/>
                <w:sz w:val="16"/>
                <w:szCs w:val="16"/>
                <w:color w:val="auto"/>
              </w:rPr>
              <w:t>OCI before reclassifications</w:t>
            </w:r>
          </w:p>
        </w:tc>
        <w:tc>
          <w:tcPr>
            <w:tcW w:w="2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current-period OCI</w:t>
            </w:r>
          </w:p>
        </w:tc>
        <w:tc>
          <w:tcPr>
            <w:tcW w:w="2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Three Months Ended March 31, 2025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63"/>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35"/>
        </w:trPr>
        <w:tc>
          <w:tcPr>
            <w:tcW w:w="4880" w:type="dxa"/>
            <w:vAlign w:val="bottom"/>
          </w:tcPr>
          <w:p>
            <w:pPr>
              <w:ind w:left="20"/>
              <w:spacing w:after="0"/>
              <w:rPr>
                <w:sz w:val="20"/>
                <w:szCs w:val="20"/>
                <w:color w:val="auto"/>
              </w:rPr>
            </w:pPr>
            <w:r>
              <w:rPr>
                <w:rFonts w:ascii="Arial" w:cs="Arial" w:eastAsia="Arial" w:hAnsi="Arial"/>
                <w:sz w:val="16"/>
                <w:szCs w:val="16"/>
                <w:color w:val="auto"/>
              </w:rPr>
              <w:t>OCI before reclassifications</w:t>
            </w:r>
          </w:p>
        </w:tc>
        <w:tc>
          <w:tcPr>
            <w:tcW w:w="2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current-period OCI</w:t>
            </w:r>
          </w:p>
        </w:tc>
        <w:tc>
          <w:tcPr>
            <w:tcW w:w="2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(2,279)</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hanging="332"/>
        <w:spacing w:after="0" w:line="285"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AOCI amounts are included in the computation of net periodic pension and OPEB cost. See Note 11 — Retirement Benefits for additional information. See our Consolidated Statements of Operations and Comprehensive Income for individual components of AOCI.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income tax (expense) benefit allocated to each component of our other comprehensive income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0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Three Months Ended March 31,</w:t>
            </w:r>
          </w:p>
        </w:tc>
        <w:tc>
          <w:tcPr>
            <w:tcW w:w="1500" w:type="dxa"/>
            <w:vAlign w:val="bottom"/>
          </w:tcPr>
          <w:p>
            <w:pPr>
              <w:spacing w:after="0"/>
              <w:rPr>
                <w:sz w:val="14"/>
                <w:szCs w:val="14"/>
                <w:color w:val="auto"/>
              </w:rPr>
            </w:pPr>
          </w:p>
        </w:tc>
      </w:tr>
      <w:tr>
        <w:trPr>
          <w:trHeight w:val="22"/>
        </w:trPr>
        <w:tc>
          <w:tcPr>
            <w:tcW w:w="6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75"/>
        </w:trPr>
        <w:tc>
          <w:tcPr>
            <w:tcW w:w="6120" w:type="dxa"/>
            <w:vAlign w:val="bottom"/>
          </w:tcPr>
          <w:p>
            <w:pPr>
              <w:spacing w:after="0"/>
              <w:rPr>
                <w:sz w:val="15"/>
                <w:szCs w:val="15"/>
                <w:color w:val="auto"/>
              </w:rPr>
            </w:pPr>
          </w:p>
        </w:tc>
        <w:tc>
          <w:tcPr>
            <w:tcW w:w="1520" w:type="dxa"/>
            <w:vAlign w:val="bottom"/>
          </w:tcPr>
          <w:p>
            <w:pPr>
              <w:jc w:val="right"/>
              <w:ind w:right="48"/>
              <w:spacing w:after="0"/>
              <w:rPr>
                <w:sz w:val="20"/>
                <w:szCs w:val="20"/>
                <w:color w:val="auto"/>
              </w:rPr>
            </w:pPr>
            <w:r>
              <w:rPr>
                <w:rFonts w:ascii="Arial" w:cs="Arial" w:eastAsia="Arial" w:hAnsi="Arial"/>
                <w:sz w:val="13"/>
                <w:szCs w:val="13"/>
                <w:b w:val="1"/>
                <w:bCs w:val="1"/>
                <w:color w:val="auto"/>
              </w:rPr>
              <w:t>2026</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jc w:val="right"/>
              <w:ind w:right="1025"/>
              <w:spacing w:after="0"/>
              <w:rPr>
                <w:sz w:val="20"/>
                <w:szCs w:val="20"/>
                <w:color w:val="auto"/>
              </w:rPr>
            </w:pPr>
            <w:r>
              <w:rPr>
                <w:rFonts w:ascii="Arial" w:cs="Arial" w:eastAsia="Arial" w:hAnsi="Arial"/>
                <w:sz w:val="13"/>
                <w:szCs w:val="13"/>
                <w:b w:val="1"/>
                <w:bCs w:val="1"/>
                <w:color w:val="auto"/>
              </w:rPr>
              <w:t>2025</w:t>
            </w:r>
          </w:p>
        </w:tc>
      </w:tr>
      <w:tr>
        <w:trPr>
          <w:trHeight w:val="22"/>
        </w:trPr>
        <w:tc>
          <w:tcPr>
            <w:tcW w:w="6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OPEB plans:</w:t>
            </w:r>
          </w:p>
        </w:tc>
        <w:tc>
          <w:tcPr>
            <w:tcW w:w="1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5"/>
        </w:trPr>
        <w:tc>
          <w:tcPr>
            <w:tcW w:w="6120" w:type="dxa"/>
            <w:vAlign w:val="bottom"/>
          </w:tcPr>
          <w:p>
            <w:pPr>
              <w:ind w:left="360"/>
              <w:spacing w:after="0"/>
              <w:rPr>
                <w:sz w:val="20"/>
                <w:szCs w:val="20"/>
                <w:color w:val="auto"/>
              </w:rPr>
            </w:pPr>
            <w:r>
              <w:rPr>
                <w:rFonts w:ascii="Arial" w:cs="Arial" w:eastAsia="Arial" w:hAnsi="Arial"/>
                <w:sz w:val="16"/>
                <w:szCs w:val="16"/>
                <w:color w:val="auto"/>
              </w:rPr>
              <w:t>Actuarial loss reclassified to periodic benefit cost</w:t>
            </w:r>
          </w:p>
        </w:tc>
        <w:tc>
          <w:tcPr>
            <w:tcW w:w="1520" w:type="dxa"/>
            <w:vAlign w:val="bottom"/>
          </w:tcPr>
          <w:p>
            <w:pPr>
              <w:jc w:val="right"/>
              <w:ind w:right="1328"/>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1"/>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and OPEB plans valuation adjustment</w:t>
            </w:r>
          </w:p>
        </w:tc>
        <w:tc>
          <w:tcPr>
            <w:tcW w:w="15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17 —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Variable Interest Entities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March 31, 2026 and December 31, 2025, we consolidated several VIEs or VIE groups for which we are the primary beneficiary (see Consolidated VIEs below) and had significant interests in several other VIEs for which we do not have the power to direct the entities’ activities and, accordingly, we were not the primary beneficiary (see Unconsolidated VIEs below). Consolidated and unconsolidated VIEs are aggregated to the extent that the entities have similar risk profiles.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VIEs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table below shows the carrying amounts and classification of the consolidated VIEs’ assets and liabilities included in the consolidated financial statements as of March 31, 2026 and December 31, 2025. The assets, except as noted in the footnotes to the table below, can only be used to settle obligations of the VIEs. The liabilities, except as noted in the footnotes to the table below, are such that creditors, or beneficiaries, do not have recourse to our general credit.</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60" w:type="dxa"/>
            <w:vAlign w:val="bottom"/>
          </w:tcPr>
          <w:p>
            <w:pPr>
              <w:spacing w:after="0"/>
              <w:rPr>
                <w:sz w:val="14"/>
                <w:szCs w:val="14"/>
                <w:color w:val="auto"/>
              </w:rPr>
            </w:pPr>
          </w:p>
        </w:tc>
        <w:tc>
          <w:tcPr>
            <w:tcW w:w="1860" w:type="dxa"/>
            <w:vAlign w:val="bottom"/>
          </w:tcPr>
          <w:p>
            <w:pPr>
              <w:jc w:val="right"/>
              <w:ind w:right="83"/>
              <w:spacing w:after="0"/>
              <w:rPr>
                <w:sz w:val="20"/>
                <w:szCs w:val="20"/>
                <w:color w:val="auto"/>
              </w:rPr>
            </w:pPr>
            <w:r>
              <w:rPr>
                <w:rFonts w:ascii="Arial" w:cs="Arial" w:eastAsia="Arial" w:hAnsi="Arial"/>
                <w:sz w:val="13"/>
                <w:szCs w:val="13"/>
                <w:b w:val="1"/>
                <w:bCs w:val="1"/>
                <w:color w:val="auto"/>
              </w:rPr>
              <w:t>March 31, 2026</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jc w:val="right"/>
              <w:ind w:right="600"/>
              <w:spacing w:after="0"/>
              <w:rPr>
                <w:sz w:val="20"/>
                <w:szCs w:val="20"/>
                <w:color w:val="auto"/>
              </w:rPr>
            </w:pPr>
            <w:r>
              <w:rPr>
                <w:rFonts w:ascii="Arial" w:cs="Arial" w:eastAsia="Arial" w:hAnsi="Arial"/>
                <w:sz w:val="13"/>
                <w:szCs w:val="13"/>
                <w:b w:val="1"/>
                <w:bCs w:val="1"/>
                <w:color w:val="auto"/>
              </w:rPr>
              <w:t>December 31, 2025</w:t>
            </w:r>
          </w:p>
        </w:tc>
      </w:tr>
      <w:tr>
        <w:trPr>
          <w:trHeight w:val="22"/>
        </w:trPr>
        <w:tc>
          <w:tcPr>
            <w:tcW w:w="61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3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860" w:type="dxa"/>
            <w:vAlign w:val="bottom"/>
            <w:shd w:val="clear" w:color="auto" w:fill="CCEEFF"/>
          </w:tcPr>
          <w:p>
            <w:pPr>
              <w:jc w:val="right"/>
              <w:ind w:right="1663"/>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5"/>
        </w:trPr>
        <w:tc>
          <w:tcPr>
            <w:tcW w:w="6160" w:type="dxa"/>
            <w:vAlign w:val="bottom"/>
          </w:tcPr>
          <w:p>
            <w:pPr>
              <w:ind w:left="20"/>
              <w:spacing w:after="0"/>
              <w:rPr>
                <w:sz w:val="20"/>
                <w:szCs w:val="20"/>
                <w:color w:val="auto"/>
              </w:rPr>
            </w:pPr>
            <w:r>
              <w:rPr>
                <w:rFonts w:ascii="Arial" w:cs="Arial" w:eastAsia="Arial" w:hAnsi="Arial"/>
                <w:sz w:val="16"/>
                <w:szCs w:val="16"/>
                <w:color w:val="auto"/>
              </w:rPr>
              <w:t>Restricted cash and cash equivalents</w:t>
            </w:r>
          </w:p>
        </w:tc>
        <w:tc>
          <w:tcPr>
            <w:tcW w:w="1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51"/>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18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r>
      <w:tr>
        <w:trPr>
          <w:trHeight w:val="235"/>
        </w:trPr>
        <w:tc>
          <w:tcPr>
            <w:tcW w:w="6160" w:type="dxa"/>
            <w:vAlign w:val="bottom"/>
          </w:tcPr>
          <w:p>
            <w:pPr>
              <w:ind w:left="20"/>
              <w:spacing w:after="0"/>
              <w:rPr>
                <w:sz w:val="20"/>
                <w:szCs w:val="20"/>
                <w:color w:val="auto"/>
              </w:rPr>
            </w:pPr>
            <w:r>
              <w:rPr>
                <w:rFonts w:ascii="Arial" w:cs="Arial" w:eastAsia="Arial" w:hAnsi="Arial"/>
                <w:sz w:val="16"/>
                <w:szCs w:val="16"/>
                <w:color w:val="auto"/>
              </w:rPr>
              <w:t>Inventories, net</w:t>
            </w:r>
          </w:p>
        </w:tc>
        <w:tc>
          <w:tcPr>
            <w:tcW w:w="1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4"/>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8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61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current assets</w:t>
            </w:r>
          </w:p>
        </w:tc>
        <w:tc>
          <w:tcPr>
            <w:tcW w:w="1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8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r>
      <w:tr>
        <w:trPr>
          <w:trHeight w:val="23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1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6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(a)</w:t>
            </w:r>
          </w:p>
        </w:tc>
        <w:tc>
          <w:tcPr>
            <w:tcW w:w="1860" w:type="dxa"/>
            <w:vAlign w:val="bottom"/>
            <w:shd w:val="clear" w:color="auto" w:fill="CCEEFF"/>
          </w:tcPr>
          <w:p>
            <w:pPr>
              <w:jc w:val="right"/>
              <w:ind w:right="1663"/>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6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borrowings</w:t>
            </w:r>
          </w:p>
        </w:tc>
        <w:tc>
          <w:tcPr>
            <w:tcW w:w="1860" w:type="dxa"/>
            <w:vAlign w:val="bottom"/>
            <w:shd w:val="clear" w:color="auto" w:fill="CCEEFF"/>
          </w:tcPr>
          <w:p>
            <w:pPr>
              <w:jc w:val="right"/>
              <w:ind w:right="1663"/>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160" w:type="dxa"/>
            <w:vAlign w:val="bottom"/>
          </w:tcPr>
          <w:p>
            <w:pPr>
              <w:ind w:left="20"/>
              <w:spacing w:after="0"/>
              <w:rPr>
                <w:sz w:val="20"/>
                <w:szCs w:val="20"/>
                <w:color w:val="auto"/>
              </w:rPr>
            </w:pPr>
            <w:r>
              <w:rPr>
                <w:rFonts w:ascii="Arial" w:cs="Arial" w:eastAsia="Arial" w:hAnsi="Arial"/>
                <w:sz w:val="16"/>
                <w:szCs w:val="16"/>
                <w:color w:val="auto"/>
              </w:rPr>
              <w:t>Long-term debt due within one year</w:t>
            </w:r>
          </w:p>
        </w:tc>
        <w:tc>
          <w:tcPr>
            <w:tcW w:w="1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51"/>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expenses</w:t>
            </w:r>
          </w:p>
        </w:tc>
        <w:tc>
          <w:tcPr>
            <w:tcW w:w="18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liabilities</w:t>
            </w:r>
          </w:p>
        </w:tc>
        <w:tc>
          <w:tcPr>
            <w:tcW w:w="1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6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18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0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3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debt</w:t>
            </w:r>
          </w:p>
        </w:tc>
        <w:tc>
          <w:tcPr>
            <w:tcW w:w="1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obligations</w:t>
            </w:r>
          </w:p>
        </w:tc>
        <w:tc>
          <w:tcPr>
            <w:tcW w:w="18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37"/>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1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6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deferred credits and other liabilities</w:t>
            </w:r>
          </w:p>
        </w:tc>
        <w:tc>
          <w:tcPr>
            <w:tcW w:w="18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43"/>
        </w:trPr>
        <w:tc>
          <w:tcPr>
            <w:tcW w:w="61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860" w:type="dxa"/>
            <w:vAlign w:val="bottom"/>
          </w:tcPr>
          <w:p>
            <w:pPr>
              <w:jc w:val="right"/>
              <w:ind w:right="1663"/>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2,381</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0"/>
        </w:trPr>
        <w:tc>
          <w:tcPr>
            <w:tcW w:w="61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right="20" w:hanging="332"/>
        <w:spacing w:after="0" w:line="265"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balances include unrestricted assets for current UEC assets of $17 million and $17 million, disclosed within other current assets in the table above, and noncurrent UEC assets of $112 million and $116 million, disclosed within other noncurrent assets in the table above, as of March 31, 2026 and December 31, 2025, respectively.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8680"/>
        <w:spacing w:after="0"/>
        <w:rPr>
          <w:sz w:val="20"/>
          <w:szCs w:val="20"/>
          <w:color w:val="auto"/>
        </w:rPr>
      </w:pPr>
      <w:r>
        <w:rPr>
          <w:rFonts w:ascii="Arial" w:cs="Arial" w:eastAsia="Arial" w:hAnsi="Arial"/>
          <w:sz w:val="16"/>
          <w:szCs w:val="16"/>
          <w:color w:val="auto"/>
        </w:rPr>
        <w:t>Note 17 —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and December 31, 2025, our consolidated VIEs included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gridSpan w:val="2"/>
          </w:tcPr>
          <w:p>
            <w:pPr>
              <w:ind w:left="860"/>
              <w:spacing w:after="0"/>
              <w:rPr>
                <w:sz w:val="20"/>
                <w:szCs w:val="20"/>
                <w:color w:val="auto"/>
              </w:rPr>
            </w:pPr>
            <w:r>
              <w:rPr>
                <w:rFonts w:ascii="Arial" w:cs="Arial" w:eastAsia="Arial" w:hAnsi="Arial"/>
                <w:sz w:val="13"/>
                <w:szCs w:val="13"/>
                <w:b w:val="1"/>
                <w:bCs w:val="1"/>
                <w:color w:val="auto"/>
              </w:rPr>
              <w:t>Consolidated VIE or VIE groups:</w:t>
            </w:r>
          </w:p>
        </w:tc>
        <w:tc>
          <w:tcPr>
            <w:tcW w:w="3780" w:type="dxa"/>
            <w:vAlign w:val="bottom"/>
            <w:gridSpan w:val="2"/>
          </w:tcPr>
          <w:p>
            <w:pPr>
              <w:ind w:left="1160"/>
              <w:spacing w:after="0"/>
              <w:rPr>
                <w:sz w:val="20"/>
                <w:szCs w:val="20"/>
                <w:color w:val="auto"/>
              </w:rPr>
            </w:pPr>
            <w:r>
              <w:rPr>
                <w:rFonts w:ascii="Arial" w:cs="Arial" w:eastAsia="Arial" w:hAnsi="Arial"/>
                <w:sz w:val="13"/>
                <w:szCs w:val="13"/>
                <w:b w:val="1"/>
                <w:bCs w:val="1"/>
                <w:color w:val="auto"/>
              </w:rPr>
              <w:t>Reason entity is a VIE:</w:t>
            </w:r>
          </w:p>
        </w:tc>
        <w:tc>
          <w:tcPr>
            <w:tcW w:w="3680" w:type="dxa"/>
            <w:vAlign w:val="bottom"/>
          </w:tcPr>
          <w:p>
            <w:pPr>
              <w:ind w:left="680"/>
              <w:spacing w:after="0"/>
              <w:rPr>
                <w:sz w:val="20"/>
                <w:szCs w:val="20"/>
                <w:color w:val="auto"/>
              </w:rPr>
            </w:pPr>
            <w:r>
              <w:rPr>
                <w:rFonts w:ascii="Arial" w:cs="Arial" w:eastAsia="Arial" w:hAnsi="Arial"/>
                <w:sz w:val="13"/>
                <w:szCs w:val="13"/>
                <w:b w:val="1"/>
                <w:bCs w:val="1"/>
                <w:color w:val="auto"/>
              </w:rPr>
              <w:t>Reason we are the primary beneficiary:</w:t>
            </w: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r>
      <w:tr>
        <w:trPr>
          <w:trHeight w:val="20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CRP - A collection of wind and solar project</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Similar structure to a limited partnership and the</w:t>
            </w:r>
          </w:p>
        </w:tc>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conduct the operational activities.</w:t>
            </w:r>
          </w:p>
        </w:tc>
      </w:tr>
      <w:tr>
        <w:trPr>
          <w:trHeight w:val="18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entities. We have a 51% equity ownership in CRP.</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limited partners do not have kick-out rights with</w:t>
            </w:r>
          </w:p>
        </w:tc>
        <w:tc>
          <w:tcPr>
            <w:tcW w:w="3680" w:type="dxa"/>
            <w:vAlign w:val="bottom"/>
            <w:shd w:val="clear" w:color="auto" w:fill="CCEEFF"/>
          </w:tcPr>
          <w:p>
            <w:pPr>
              <w:spacing w:after="0"/>
              <w:rPr>
                <w:sz w:val="16"/>
                <w:szCs w:val="16"/>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See additional discussion below.</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respect to the general partner.</w:t>
            </w:r>
          </w:p>
        </w:tc>
        <w:tc>
          <w:tcPr>
            <w:tcW w:w="3680" w:type="dxa"/>
            <w:vAlign w:val="bottom"/>
            <w:shd w:val="clear" w:color="auto" w:fill="CCEEFF"/>
          </w:tcPr>
          <w:p>
            <w:pPr>
              <w:spacing w:after="0"/>
              <w:rPr>
                <w:sz w:val="20"/>
                <w:szCs w:val="20"/>
                <w:color w:val="auto"/>
              </w:rPr>
            </w:pPr>
          </w:p>
        </w:tc>
      </w:tr>
      <w:tr>
        <w:trPr>
          <w:trHeight w:val="215"/>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Bluestem Wind Energy Holdings, LLC - A Tax</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Similar structure to a limited partnership and the</w:t>
            </w:r>
          </w:p>
        </w:tc>
        <w:tc>
          <w:tcPr>
            <w:tcW w:w="3680" w:type="dxa"/>
            <w:vAlign w:val="bottom"/>
          </w:tcPr>
          <w:p>
            <w:pPr>
              <w:ind w:left="20"/>
              <w:spacing w:after="0"/>
              <w:rPr>
                <w:sz w:val="20"/>
                <w:szCs w:val="20"/>
                <w:color w:val="auto"/>
              </w:rPr>
            </w:pPr>
            <w:r>
              <w:rPr>
                <w:rFonts w:ascii="Arial" w:cs="Arial" w:eastAsia="Arial" w:hAnsi="Arial"/>
                <w:sz w:val="16"/>
                <w:szCs w:val="16"/>
                <w:color w:val="auto"/>
              </w:rPr>
              <w:t>We conduct the operational activities.</w:t>
            </w:r>
          </w:p>
        </w:tc>
      </w:tr>
      <w:tr>
        <w:trPr>
          <w:trHeight w:val="189"/>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Equity structure which is consolidated by CRP.</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limited partners do not have kick-out rights with</w:t>
            </w:r>
          </w:p>
        </w:tc>
        <w:tc>
          <w:tcPr>
            <w:tcW w:w="3680" w:type="dxa"/>
            <w:vAlign w:val="bottom"/>
          </w:tcPr>
          <w:p>
            <w:pPr>
              <w:spacing w:after="0"/>
              <w:rPr>
                <w:sz w:val="16"/>
                <w:szCs w:val="16"/>
                <w:color w:val="auto"/>
              </w:rPr>
            </w:pPr>
          </w:p>
        </w:tc>
      </w:tr>
      <w:tr>
        <w:trPr>
          <w:trHeight w:val="222"/>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respect to the general partner.</w:t>
            </w:r>
          </w:p>
        </w:tc>
        <w:tc>
          <w:tcPr>
            <w:tcW w:w="3680" w:type="dxa"/>
            <w:vAlign w:val="bottom"/>
          </w:tcPr>
          <w:p>
            <w:pPr>
              <w:spacing w:after="0"/>
              <w:rPr>
                <w:sz w:val="19"/>
                <w:szCs w:val="19"/>
                <w:color w:val="auto"/>
              </w:rPr>
            </w:pPr>
          </w:p>
        </w:tc>
      </w:tr>
      <w:tr>
        <w:trPr>
          <w:trHeight w:val="22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Antelope Valley - A solar generating facility, which</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PPA contract absorbs variability through a</w:t>
            </w:r>
          </w:p>
        </w:tc>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conduct all activities.</w:t>
            </w:r>
          </w:p>
        </w:tc>
      </w:tr>
      <w:tr>
        <w:trPr>
          <w:trHeight w:val="18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 100% owned by us. Antelope Valley sells all of</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guarantee.</w:t>
            </w:r>
          </w:p>
        </w:tc>
        <w:tc>
          <w:tcPr>
            <w:tcW w:w="3680" w:type="dxa"/>
            <w:vAlign w:val="bottom"/>
            <w:shd w:val="clear" w:color="auto" w:fill="CCEEFF"/>
          </w:tcPr>
          <w:p>
            <w:pPr>
              <w:spacing w:after="0"/>
              <w:rPr>
                <w:sz w:val="16"/>
                <w:szCs w:val="16"/>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its output to PG&amp;E through a PPA.</w:t>
            </w: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r>
      <w:tr>
        <w:trPr>
          <w:trHeight w:val="215"/>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NER - A bankruptcy remote, special purpose</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Equity capitalization is insufficient to support its</w:t>
            </w:r>
          </w:p>
        </w:tc>
        <w:tc>
          <w:tcPr>
            <w:tcW w:w="3680" w:type="dxa"/>
            <w:vAlign w:val="bottom"/>
          </w:tcPr>
          <w:p>
            <w:pPr>
              <w:ind w:left="20"/>
              <w:spacing w:after="0"/>
              <w:rPr>
                <w:sz w:val="20"/>
                <w:szCs w:val="20"/>
                <w:color w:val="auto"/>
              </w:rPr>
            </w:pPr>
            <w:r>
              <w:rPr>
                <w:rFonts w:ascii="Arial" w:cs="Arial" w:eastAsia="Arial" w:hAnsi="Arial"/>
                <w:sz w:val="16"/>
                <w:szCs w:val="16"/>
                <w:color w:val="auto"/>
              </w:rPr>
              <w:t>We conduct all activities.</w:t>
            </w:r>
          </w:p>
        </w:tc>
      </w:tr>
      <w:tr>
        <w:trPr>
          <w:trHeight w:val="189"/>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entity which is 100% owned by us, which</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operations.</w:t>
            </w:r>
          </w:p>
        </w:tc>
        <w:tc>
          <w:tcPr>
            <w:tcW w:w="3680" w:type="dxa"/>
            <w:vAlign w:val="bottom"/>
          </w:tcPr>
          <w:p>
            <w:pPr>
              <w:spacing w:after="0"/>
              <w:rPr>
                <w:sz w:val="16"/>
                <w:szCs w:val="16"/>
                <w:color w:val="auto"/>
              </w:rPr>
            </w:pPr>
          </w:p>
        </w:tc>
      </w:tr>
      <w:tr>
        <w:trPr>
          <w:trHeight w:val="203"/>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purchases certain of our customer accounts</w:t>
            </w: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189"/>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receivable arising from the sale of retail electricity</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215"/>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and gas.</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420"/>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NER’s assets will be available first and foremost</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9"/>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to satisfy the claims of the creditors of NER. Refer</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203"/>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to Note 7 —Accounts Receivable for additional</w:t>
            </w: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215"/>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information on the sale of receivables.</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Unconsolidated VIEs</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variable interests in unconsolidated VIEs generally include an equity method investment and energy purchase and sale contracts. For the equity investment, the carrying amount of the investment is reflected in the Consolidated Balance Sheets in Other deferred debits and other assets, see Note 18 — Supplemental Financial Information for additional information</w:t>
      </w:r>
      <w:r>
        <w:rPr>
          <w:rFonts w:ascii="Arial" w:cs="Arial" w:eastAsia="Arial" w:hAnsi="Arial"/>
          <w:sz w:val="14"/>
          <w:szCs w:val="14"/>
          <w:color w:val="auto"/>
        </w:rPr>
        <w:t>.</w:t>
      </w:r>
      <w:r>
        <w:rPr>
          <w:rFonts w:ascii="Arial" w:cs="Arial" w:eastAsia="Arial" w:hAnsi="Arial"/>
          <w:sz w:val="16"/>
          <w:szCs w:val="16"/>
          <w:color w:val="auto"/>
        </w:rPr>
        <w:t xml:space="preserve"> For the energy purchase and sale contracts (commercial agreements), the carrying amount of assets and liabilities in the Consolidated Balance Sheets that relate to our involvement with the VIEs are predominantly related to working capital accounts and generally represent the amounts owed by, or owed to, us for the deliveries associated with the current billing cycles under the commercial agreements.</w:t>
      </w:r>
    </w:p>
    <w:p>
      <w:pPr>
        <w:spacing w:after="0" w:line="11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March 31, 2026 and December 31, 2025, we had significant unconsolidated variable interests in several VIEs for which we were not the primary beneficiary. These interests include certain commercial and securitization agreements.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summary information about our significant unconsolidated VIE entities: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March 31, 2026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3"/>
          </w:tcPr>
          <w:p>
            <w:pPr>
              <w:jc w:val="right"/>
              <w:ind w:right="11"/>
              <w:spacing w:after="0"/>
              <w:rPr>
                <w:sz w:val="20"/>
                <w:szCs w:val="20"/>
                <w:color w:val="auto"/>
              </w:rPr>
            </w:pPr>
            <w:r>
              <w:rPr>
                <w:rFonts w:ascii="Arial" w:cs="Arial" w:eastAsia="Arial" w:hAnsi="Arial"/>
                <w:sz w:val="13"/>
                <w:szCs w:val="13"/>
                <w:b w:val="1"/>
                <w:bCs w:val="1"/>
                <w:color w:val="auto"/>
              </w:rPr>
              <w:t>December 31, 2025</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2"/>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51"/>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266"/>
              <w:spacing w:after="0"/>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3"/>
                <w:szCs w:val="13"/>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Equity Investment</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Commercial</w:t>
            </w:r>
          </w:p>
        </w:tc>
        <w:tc>
          <w:tcPr>
            <w:tcW w:w="160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6"/>
              </w:rPr>
              <w:t>Equity Investment</w:t>
            </w:r>
          </w:p>
        </w:tc>
        <w:tc>
          <w:tcPr>
            <w:tcW w:w="620" w:type="dxa"/>
            <w:vAlign w:val="bottom"/>
          </w:tcPr>
          <w:p>
            <w:pPr>
              <w:spacing w:after="0"/>
              <w:rPr>
                <w:sz w:val="13"/>
                <w:szCs w:val="13"/>
                <w:color w:val="auto"/>
              </w:rPr>
            </w:pPr>
          </w:p>
        </w:tc>
      </w:tr>
      <w:tr>
        <w:trPr>
          <w:trHeight w:val="172"/>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Arial" w:cs="Arial" w:eastAsia="Arial" w:hAnsi="Arial"/>
                <w:sz w:val="13"/>
                <w:szCs w:val="13"/>
                <w:b w:val="1"/>
                <w:bCs w:val="1"/>
                <w:color w:val="auto"/>
              </w:rPr>
              <w:t>Agreement VIEs</w:t>
            </w:r>
          </w:p>
        </w:tc>
        <w:tc>
          <w:tcPr>
            <w:tcW w:w="140" w:type="dxa"/>
            <w:vAlign w:val="bottom"/>
          </w:tcPr>
          <w:p>
            <w:pPr>
              <w:spacing w:after="0"/>
              <w:rPr>
                <w:sz w:val="14"/>
                <w:szCs w:val="14"/>
                <w:color w:val="auto"/>
              </w:rPr>
            </w:pPr>
          </w:p>
        </w:tc>
        <w:tc>
          <w:tcPr>
            <w:tcW w:w="860" w:type="dxa"/>
            <w:vAlign w:val="bottom"/>
          </w:tcPr>
          <w:p>
            <w:pPr>
              <w:jc w:val="center"/>
              <w:ind w:left="357"/>
              <w:spacing w:after="0"/>
              <w:rPr>
                <w:sz w:val="20"/>
                <w:szCs w:val="20"/>
                <w:color w:val="auto"/>
              </w:rPr>
            </w:pPr>
            <w:r>
              <w:rPr>
                <w:rFonts w:ascii="Arial" w:cs="Arial" w:eastAsia="Arial" w:hAnsi="Arial"/>
                <w:sz w:val="13"/>
                <w:szCs w:val="13"/>
                <w:b w:val="1"/>
                <w:bCs w:val="1"/>
                <w:color w:val="auto"/>
                <w:w w:val="99"/>
              </w:rPr>
              <w:t>VIEs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Agreement VIEs</w:t>
            </w:r>
          </w:p>
        </w:tc>
        <w:tc>
          <w:tcPr>
            <w:tcW w:w="980" w:type="dxa"/>
            <w:vAlign w:val="bottom"/>
          </w:tcPr>
          <w:p>
            <w:pPr>
              <w:jc w:val="center"/>
              <w:ind w:left="231"/>
              <w:spacing w:after="0"/>
              <w:rPr>
                <w:sz w:val="20"/>
                <w:szCs w:val="20"/>
                <w:color w:val="auto"/>
              </w:rPr>
            </w:pPr>
            <w:r>
              <w:rPr>
                <w:rFonts w:ascii="Arial" w:cs="Arial" w:eastAsia="Arial" w:hAnsi="Arial"/>
                <w:sz w:val="13"/>
                <w:szCs w:val="13"/>
                <w:b w:val="1"/>
                <w:bCs w:val="1"/>
                <w:color w:val="auto"/>
                <w:w w:val="99"/>
              </w:rPr>
              <w:t>VIEs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84"/>
              <w:spacing w:after="0"/>
              <w:rPr>
                <w:sz w:val="20"/>
                <w:szCs w:val="20"/>
                <w:color w:val="auto"/>
              </w:rPr>
            </w:pPr>
            <w:r>
              <w:rPr>
                <w:rFonts w:ascii="Arial" w:cs="Arial" w:eastAsia="Arial" w:hAnsi="Arial"/>
                <w:sz w:val="13"/>
                <w:szCs w:val="13"/>
                <w:b w:val="1"/>
                <w:bCs w:val="1"/>
                <w:color w:val="auto"/>
              </w:rPr>
              <w:t>Total</w:t>
            </w:r>
          </w:p>
        </w:tc>
      </w:tr>
      <w:tr>
        <w:trPr>
          <w:trHeight w:val="22"/>
        </w:trPr>
        <w:tc>
          <w:tcPr>
            <w:tcW w:w="3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6"/>
        </w:trPr>
        <w:tc>
          <w:tcPr>
            <w:tcW w:w="358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0" w:type="dxa"/>
            <w:vAlign w:val="bottom"/>
            <w:gridSpan w:val="2"/>
            <w:shd w:val="clear" w:color="auto" w:fill="CCEEFF"/>
          </w:tcPr>
          <w:p>
            <w:pPr>
              <w:jc w:val="right"/>
              <w:ind w:right="697"/>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   1,285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711</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11"/>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711</w:t>
            </w: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Total liabilities</w:t>
            </w:r>
            <w:r>
              <w:rPr>
                <w:rFonts w:ascii="Arial" w:cs="Arial" w:eastAsia="Arial" w:hAnsi="Arial"/>
                <w:sz w:val="21"/>
                <w:szCs w:val="21"/>
                <w:color w:val="auto"/>
                <w:vertAlign w:val="superscript"/>
              </w:rPr>
              <w:t>(a)</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1"/>
                <w:szCs w:val="21"/>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8"/>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
              <w:spacing w:after="0"/>
              <w:rPr>
                <w:sz w:val="20"/>
                <w:szCs w:val="20"/>
                <w:color w:val="auto"/>
              </w:rPr>
            </w:pPr>
            <w:r>
              <w:rPr>
                <w:rFonts w:ascii="Arial" w:cs="Arial" w:eastAsia="Arial" w:hAnsi="Arial"/>
                <w:sz w:val="16"/>
                <w:szCs w:val="16"/>
                <w:color w:val="auto"/>
              </w:rPr>
              <w:t>95</w:t>
            </w: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ownership interests in VIE</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638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616</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616</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hanging="332"/>
        <w:spacing w:after="0" w:line="285"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items represent amounts on the unconsolidated VIE balance sheets, not in the Consolidated Balance Sheets. These items are included to provide information regarding the relative size of the unconsolidated VIEs.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17 —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and December 31, 2025, the unconsolidated VIEs consist of:</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gridSpan w:val="2"/>
          </w:tcPr>
          <w:p>
            <w:pPr>
              <w:ind w:left="800"/>
              <w:spacing w:after="0"/>
              <w:rPr>
                <w:sz w:val="20"/>
                <w:szCs w:val="20"/>
                <w:color w:val="auto"/>
              </w:rPr>
            </w:pPr>
            <w:r>
              <w:rPr>
                <w:rFonts w:ascii="Arial" w:cs="Arial" w:eastAsia="Arial" w:hAnsi="Arial"/>
                <w:sz w:val="13"/>
                <w:szCs w:val="13"/>
                <w:b w:val="1"/>
                <w:bCs w:val="1"/>
                <w:color w:val="auto"/>
              </w:rPr>
              <w:t>Unconsolidated VIE or VIE groups:</w:t>
            </w:r>
          </w:p>
        </w:tc>
        <w:tc>
          <w:tcPr>
            <w:tcW w:w="3780" w:type="dxa"/>
            <w:vAlign w:val="bottom"/>
            <w:gridSpan w:val="2"/>
          </w:tcPr>
          <w:p>
            <w:pPr>
              <w:ind w:left="1160"/>
              <w:spacing w:after="0"/>
              <w:rPr>
                <w:sz w:val="20"/>
                <w:szCs w:val="20"/>
                <w:color w:val="auto"/>
              </w:rPr>
            </w:pPr>
            <w:r>
              <w:rPr>
                <w:rFonts w:ascii="Arial" w:cs="Arial" w:eastAsia="Arial" w:hAnsi="Arial"/>
                <w:sz w:val="13"/>
                <w:szCs w:val="13"/>
                <w:b w:val="1"/>
                <w:bCs w:val="1"/>
                <w:color w:val="auto"/>
              </w:rPr>
              <w:t>Reason entity is a VIE:</w:t>
            </w:r>
          </w:p>
        </w:tc>
        <w:tc>
          <w:tcPr>
            <w:tcW w:w="3700" w:type="dxa"/>
            <w:vAlign w:val="bottom"/>
          </w:tcPr>
          <w:p>
            <w:pPr>
              <w:ind w:left="560"/>
              <w:spacing w:after="0"/>
              <w:rPr>
                <w:sz w:val="20"/>
                <w:szCs w:val="20"/>
                <w:color w:val="auto"/>
              </w:rPr>
            </w:pPr>
            <w:r>
              <w:rPr>
                <w:rFonts w:ascii="Arial" w:cs="Arial" w:eastAsia="Arial" w:hAnsi="Arial"/>
                <w:sz w:val="13"/>
                <w:szCs w:val="13"/>
                <w:b w:val="1"/>
                <w:bCs w:val="1"/>
                <w:color w:val="auto"/>
              </w:rPr>
              <w:t>Reason we are not the primary beneficiary:</w:t>
            </w: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Purchase and Sale agreements - We have</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PPA contracts that absorb variability through fixed</w:t>
            </w: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do not conduct the operational activities.</w:t>
            </w: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several energy purchase and sale agreements</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pricing.</w:t>
            </w:r>
          </w:p>
        </w:tc>
        <w:tc>
          <w:tcPr>
            <w:tcW w:w="3700" w:type="dxa"/>
            <w:vAlign w:val="bottom"/>
            <w:shd w:val="clear" w:color="auto" w:fill="CCEEFF"/>
          </w:tcPr>
          <w:p>
            <w:pPr>
              <w:spacing w:after="0"/>
              <w:rPr>
                <w:sz w:val="16"/>
                <w:szCs w:val="16"/>
                <w:color w:val="auto"/>
              </w:rPr>
            </w:pP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with generating facilities.</w:t>
            </w:r>
          </w:p>
        </w:tc>
        <w:tc>
          <w:tcPr>
            <w:tcW w:w="3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5"/>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Calpine Receivables, LLC - A bankruptcy remote</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Equity capitalization is insufficient to support its</w:t>
            </w:r>
          </w:p>
        </w:tc>
        <w:tc>
          <w:tcPr>
            <w:tcW w:w="3700" w:type="dxa"/>
            <w:vAlign w:val="bottom"/>
          </w:tcPr>
          <w:p>
            <w:pPr>
              <w:ind w:left="20"/>
              <w:spacing w:after="0"/>
              <w:rPr>
                <w:sz w:val="20"/>
                <w:szCs w:val="20"/>
                <w:color w:val="auto"/>
              </w:rPr>
            </w:pPr>
            <w:r>
              <w:rPr>
                <w:rFonts w:ascii="Arial" w:cs="Arial" w:eastAsia="Arial" w:hAnsi="Arial"/>
                <w:sz w:val="16"/>
                <w:szCs w:val="16"/>
                <w:color w:val="auto"/>
              </w:rPr>
              <w:t>We do not have the power to direct activities nor</w:t>
            </w: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entity created for the special purpose of</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operations.</w:t>
            </w:r>
          </w:p>
        </w:tc>
        <w:tc>
          <w:tcPr>
            <w:tcW w:w="3700" w:type="dxa"/>
            <w:vAlign w:val="bottom"/>
          </w:tcPr>
          <w:p>
            <w:pPr>
              <w:ind w:left="20"/>
              <w:spacing w:after="0"/>
              <w:rPr>
                <w:sz w:val="20"/>
                <w:szCs w:val="20"/>
                <w:color w:val="auto"/>
              </w:rPr>
            </w:pPr>
            <w:r>
              <w:rPr>
                <w:rFonts w:ascii="Arial" w:cs="Arial" w:eastAsia="Arial" w:hAnsi="Arial"/>
                <w:sz w:val="16"/>
                <w:szCs w:val="16"/>
                <w:color w:val="auto"/>
              </w:rPr>
              <w:t>affect its financial performance</w:t>
            </w:r>
          </w:p>
        </w:tc>
      </w:tr>
      <w:tr>
        <w:trPr>
          <w:trHeight w:val="20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purchasing trade accounts receivable from</w:t>
            </w: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Calpine Energy Solutions, LLC under the</w:t>
            </w: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215"/>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Accounts Receivable Sales Program</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Supplemental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Consolidated Statements of Operations and Comprehensive Income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additional information about items recorded in the Consolidated Statements of Operations and Comprehensive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80" w:type="dxa"/>
            <w:vAlign w:val="bottom"/>
            <w:gridSpan w:val="7"/>
          </w:tcPr>
          <w:p>
            <w:pPr>
              <w:ind w:left="68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040" w:type="dxa"/>
            <w:vAlign w:val="bottom"/>
            <w:vMerge w:val="restart"/>
          </w:tcPr>
          <w:p>
            <w:pPr>
              <w:spacing w:after="0"/>
              <w:rPr>
                <w:sz w:val="20"/>
                <w:szCs w:val="20"/>
                <w:color w:val="auto"/>
              </w:rPr>
            </w:pPr>
            <w:r>
              <w:rPr>
                <w:rFonts w:ascii="Arial" w:cs="Arial" w:eastAsia="Arial" w:hAnsi="Arial"/>
                <w:sz w:val="13"/>
                <w:szCs w:val="13"/>
                <w:b w:val="1"/>
                <w:bCs w:val="1"/>
                <w:color w:val="auto"/>
              </w:rPr>
              <w:t>Operating revenues</w:t>
            </w: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ind w:right="766"/>
              <w:spacing w:after="0"/>
              <w:rPr>
                <w:sz w:val="20"/>
                <w:szCs w:val="20"/>
                <w:color w:val="auto"/>
              </w:rPr>
            </w:pPr>
            <w:r>
              <w:rPr>
                <w:rFonts w:ascii="Arial" w:cs="Arial" w:eastAsia="Arial" w:hAnsi="Arial"/>
                <w:sz w:val="13"/>
                <w:szCs w:val="13"/>
                <w:b w:val="1"/>
                <w:bCs w:val="1"/>
                <w:color w:val="auto"/>
              </w:rPr>
              <w:t>2026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jc w:val="right"/>
              <w:ind w:right="764"/>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Variable lease income</w:t>
            </w: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gridSpan w:val="7"/>
          </w:tcPr>
          <w:p>
            <w:pPr>
              <w:ind w:left="66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Taxes other than income taxes</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ind w:right="786"/>
              <w:spacing w:after="0"/>
              <w:rPr>
                <w:sz w:val="20"/>
                <w:szCs w:val="20"/>
                <w:color w:val="auto"/>
              </w:rPr>
            </w:pPr>
            <w:r>
              <w:rPr>
                <w:rFonts w:ascii="Arial" w:cs="Arial" w:eastAsia="Arial" w:hAnsi="Arial"/>
                <w:sz w:val="13"/>
                <w:szCs w:val="13"/>
                <w:b w:val="1"/>
                <w:bCs w:val="1"/>
                <w:color w:val="auto"/>
              </w:rPr>
              <w:t>2026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jc w:val="right"/>
              <w:ind w:right="784"/>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w:t>
            </w: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102</w:t>
            </w:r>
          </w:p>
        </w:tc>
        <w:tc>
          <w:tcPr>
            <w:tcW w:w="2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40" w:type="dxa"/>
            <w:vAlign w:val="bottom"/>
          </w:tcPr>
          <w:p>
            <w:pPr>
              <w:ind w:left="20"/>
              <w:spacing w:after="0"/>
              <w:rPr>
                <w:sz w:val="20"/>
                <w:szCs w:val="20"/>
                <w:color w:val="auto"/>
              </w:rPr>
            </w:pPr>
            <w:r>
              <w:rPr>
                <w:rFonts w:ascii="Arial" w:cs="Arial" w:eastAsia="Arial" w:hAnsi="Arial"/>
                <w:sz w:val="16"/>
                <w:szCs w:val="16"/>
                <w:color w:val="auto"/>
              </w:rPr>
              <w:t>Payroll</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receipts</w:t>
            </w:r>
            <w:r>
              <w:rPr>
                <w:rFonts w:ascii="Arial" w:cs="Arial" w:eastAsia="Arial" w:hAnsi="Arial"/>
                <w:sz w:val="21"/>
                <w:szCs w:val="21"/>
                <w:color w:val="auto"/>
                <w:vertAlign w:val="superscript"/>
              </w:rPr>
              <w:t>(a)</w:t>
            </w: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229</w:t>
            </w:r>
          </w:p>
        </w:tc>
        <w:tc>
          <w:tcPr>
            <w:tcW w:w="2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hanging="332"/>
        <w:spacing w:after="0" w:line="285"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 gross receipts taxes related to our retail operations. The offsetting collection of gross receipts taxes from customers is recorded in Operating revenues in the Consolidated Statements of Operations and Comprehensive Income.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Note 18 — Supplemental Financial Information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60" w:type="dxa"/>
            <w:vAlign w:val="bottom"/>
            <w:gridSpan w:val="4"/>
          </w:tcPr>
          <w:p>
            <w:pPr>
              <w:jc w:val="right"/>
              <w:ind w:right="1061"/>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22"/>
        </w:trPr>
        <w:tc>
          <w:tcPr>
            <w:tcW w:w="71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Other, net</w:t>
            </w: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1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jc w:val="right"/>
              <w:ind w:right="782"/>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ind w:right="781"/>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2"/>
        </w:trPr>
        <w:tc>
          <w:tcPr>
            <w:tcW w:w="7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Decommissioning-related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line="216" w:lineRule="exact"/>
              <w:rPr>
                <w:sz w:val="20"/>
                <w:szCs w:val="20"/>
                <w:color w:val="auto"/>
              </w:rPr>
            </w:pPr>
            <w:r>
              <w:rPr>
                <w:rFonts w:ascii="Arial" w:cs="Arial" w:eastAsia="Arial" w:hAnsi="Arial"/>
                <w:sz w:val="16"/>
                <w:szCs w:val="16"/>
                <w:color w:val="auto"/>
              </w:rPr>
              <w:t>Net realized income on NDT funds</w:t>
            </w:r>
            <w:r>
              <w:rPr>
                <w:rFonts w:ascii="Arial" w:cs="Arial" w:eastAsia="Arial" w:hAnsi="Arial"/>
                <w:sz w:val="21"/>
                <w:szCs w:val="21"/>
                <w:color w:val="auto"/>
                <w:vertAlign w:val="superscript"/>
              </w:rPr>
              <w:t>(a)</w:t>
            </w: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Regulatory Agreement Units</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6"/>
                <w:szCs w:val="16"/>
                <w:color w:val="auto"/>
              </w:rPr>
              <w:t>Non-Regulatory Agreement Units</w:t>
            </w:r>
          </w:p>
        </w:tc>
        <w:tc>
          <w:tcPr>
            <w:tcW w:w="4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unrealized gains (losses) on NDT funds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6"/>
                <w:szCs w:val="16"/>
                <w:color w:val="auto"/>
              </w:rPr>
              <w:t>Regulatory Agreement Units</w:t>
            </w:r>
          </w:p>
        </w:tc>
        <w:tc>
          <w:tcPr>
            <w:tcW w:w="4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Non-Regulatory Agreement Units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Regulatory offset to NDT fund-related activities</w:t>
            </w:r>
            <w:r>
              <w:rPr>
                <w:rFonts w:ascii="Arial" w:cs="Arial" w:eastAsia="Arial" w:hAnsi="Arial"/>
                <w:sz w:val="21"/>
                <w:szCs w:val="21"/>
                <w:color w:val="auto"/>
                <w:vertAlign w:val="superscript"/>
              </w:rPr>
              <w:t>(b)</w:t>
            </w:r>
          </w:p>
        </w:tc>
        <w:tc>
          <w:tcPr>
            <w:tcW w:w="4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Decommissioning-related activities</w:t>
            </w: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6"/>
                <w:szCs w:val="16"/>
                <w:color w:val="auto"/>
              </w:rPr>
              <w:t>Net unrealized gains (losses) from equity investments</w:t>
            </w:r>
            <w:r>
              <w:rPr>
                <w:rFonts w:ascii="Arial" w:cs="Arial" w:eastAsia="Arial" w:hAnsi="Arial"/>
                <w:sz w:val="21"/>
                <w:szCs w:val="21"/>
                <w:color w:val="auto"/>
                <w:vertAlign w:val="superscript"/>
              </w:rPr>
              <w:t>(c)</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3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Realized income includes interest, dividends and realized gains and losses on sales of NDT fund investments.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elimination of decommissioning-related activities and the elimination of income taxes related to all NDT fund activity for the Regulatory Agreement Units.</w:t>
      </w:r>
    </w:p>
    <w:p>
      <w:pPr>
        <w:spacing w:after="0" w:line="14" w:lineRule="exact"/>
        <w:rPr>
          <w:rFonts w:ascii="Arial" w:cs="Arial" w:eastAsia="Arial" w:hAnsi="Arial"/>
          <w:sz w:val="14"/>
          <w:szCs w:val="14"/>
          <w:color w:val="auto"/>
        </w:rPr>
      </w:pPr>
    </w:p>
    <w:p>
      <w:pPr>
        <w:ind w:left="340" w:hanging="332"/>
        <w:spacing w:after="0" w:line="284" w:lineRule="auto"/>
        <w:tabs>
          <w:tab w:leader="none" w:pos="332"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unrealized gains (losses) resulting from an equity investment in a publicly traded company. We record the fair value of this investment in Other deferred debits and other assets in the Consolidated Balance Sheets based on quoted market price of the stock.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Cash Flow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additional information about items recorded within our Consolidated Statements of Cash Flows.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4"/>
          </w:tcPr>
          <w:p>
            <w:pPr>
              <w:jc w:val="right"/>
              <w:ind w:right="561"/>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22"/>
        </w:trPr>
        <w:tc>
          <w:tcPr>
            <w:tcW w:w="4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Depreciation, amortization, and accretion</w:t>
            </w:r>
          </w:p>
        </w:tc>
        <w:tc>
          <w:tcPr>
            <w:tcW w:w="3340" w:type="dxa"/>
            <w:vAlign w:val="bottom"/>
            <w:gridSpan w:val="2"/>
            <w:vMerge w:val="restart"/>
          </w:tcPr>
          <w:p>
            <w:pPr>
              <w:ind w:left="820"/>
              <w:spacing w:after="0"/>
              <w:rPr>
                <w:sz w:val="20"/>
                <w:szCs w:val="20"/>
                <w:color w:val="auto"/>
              </w:rPr>
            </w:pPr>
            <w:r>
              <w:rPr>
                <w:rFonts w:ascii="Arial" w:cs="Arial" w:eastAsia="Arial" w:hAnsi="Arial"/>
                <w:sz w:val="13"/>
                <w:szCs w:val="13"/>
                <w:b w:val="1"/>
                <w:bCs w:val="1"/>
                <w:color w:val="auto"/>
              </w:rPr>
              <w:t>Income statement location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4760" w:type="dxa"/>
            <w:vAlign w:val="bottom"/>
            <w:vMerge w:val="continue"/>
          </w:tcPr>
          <w:p>
            <w:pPr>
              <w:spacing w:after="0"/>
              <w:rPr>
                <w:sz w:val="15"/>
                <w:szCs w:val="15"/>
                <w:color w:val="auto"/>
              </w:rPr>
            </w:pPr>
          </w:p>
        </w:tc>
        <w:tc>
          <w:tcPr>
            <w:tcW w:w="33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23"/>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541"/>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PP&amp;E</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42"/>
        </w:trPr>
        <w:tc>
          <w:tcPr>
            <w:tcW w:w="4760" w:type="dxa"/>
            <w:vAlign w:val="bottom"/>
          </w:tcPr>
          <w:p>
            <w:pPr>
              <w:ind w:left="20"/>
              <w:spacing w:after="0"/>
              <w:rPr>
                <w:sz w:val="20"/>
                <w:szCs w:val="20"/>
                <w:color w:val="auto"/>
              </w:rPr>
            </w:pPr>
            <w:r>
              <w:rPr>
                <w:rFonts w:ascii="Arial" w:cs="Arial" w:eastAsia="Arial" w:hAnsi="Arial"/>
                <w:sz w:val="16"/>
                <w:szCs w:val="16"/>
                <w:color w:val="auto"/>
              </w:rPr>
              <w:t>Nuclear fuel</w:t>
            </w:r>
          </w:p>
        </w:tc>
        <w:tc>
          <w:tcPr>
            <w:tcW w:w="3340" w:type="dxa"/>
            <w:vAlign w:val="bottom"/>
            <w:gridSpan w:val="2"/>
          </w:tcPr>
          <w:p>
            <w:pPr>
              <w:ind w:left="20"/>
              <w:spacing w:after="0"/>
              <w:rPr>
                <w:sz w:val="20"/>
                <w:szCs w:val="20"/>
                <w:color w:val="auto"/>
              </w:rPr>
            </w:pPr>
            <w:r>
              <w:rPr>
                <w:rFonts w:ascii="Arial" w:cs="Arial" w:eastAsia="Arial" w:hAnsi="Arial"/>
                <w:sz w:val="16"/>
                <w:szCs w:val="16"/>
                <w:color w:val="auto"/>
              </w:rPr>
              <w:t>Purchased power and fuel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63"/>
        </w:trPr>
        <w:tc>
          <w:tcPr>
            <w:tcW w:w="47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Amortization of acquired derivative contracts</w:t>
            </w:r>
            <w:r>
              <w:rPr>
                <w:rFonts w:ascii="Arial" w:cs="Arial" w:eastAsia="Arial" w:hAnsi="Arial"/>
                <w:sz w:val="21"/>
                <w:szCs w:val="21"/>
                <w:color w:val="auto"/>
                <w:vertAlign w:val="superscript"/>
              </w:rPr>
              <w:t>(a)</w:t>
            </w:r>
          </w:p>
        </w:tc>
        <w:tc>
          <w:tcPr>
            <w:tcW w:w="33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Operating revenues or purchased power</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vMerge w:val="continue"/>
            <w:shd w:val="clear" w:color="auto" w:fill="CCEEFF"/>
          </w:tcPr>
          <w:p>
            <w:pPr>
              <w:spacing w:after="0"/>
              <w:rPr>
                <w:sz w:val="18"/>
                <w:szCs w:val="18"/>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 fuel</w:t>
            </w: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760" w:type="dxa"/>
            <w:vAlign w:val="bottom"/>
          </w:tcPr>
          <w:p>
            <w:pPr>
              <w:ind w:left="20"/>
              <w:spacing w:after="0"/>
              <w:rPr>
                <w:sz w:val="20"/>
                <w:szCs w:val="20"/>
                <w:color w:val="auto"/>
              </w:rPr>
            </w:pPr>
            <w:r>
              <w:rPr>
                <w:rFonts w:ascii="Arial" w:cs="Arial" w:eastAsia="Arial" w:hAnsi="Arial"/>
                <w:sz w:val="16"/>
                <w:szCs w:val="16"/>
                <w:color w:val="auto"/>
              </w:rPr>
              <w:t>ARO accretion</w:t>
            </w:r>
          </w:p>
        </w:tc>
        <w:tc>
          <w:tcPr>
            <w:tcW w:w="3340" w:type="dxa"/>
            <w:vAlign w:val="bottom"/>
            <w:gridSpan w:val="2"/>
          </w:tcPr>
          <w:p>
            <w:pPr>
              <w:ind w:left="20"/>
              <w:spacing w:after="0"/>
              <w:rPr>
                <w:sz w:val="20"/>
                <w:szCs w:val="20"/>
                <w:color w:val="auto"/>
              </w:rPr>
            </w:pPr>
            <w:r>
              <w:rPr>
                <w:rFonts w:ascii="Arial" w:cs="Arial" w:eastAsia="Arial" w:hAnsi="Arial"/>
                <w:sz w:val="16"/>
                <w:szCs w:val="16"/>
                <w:color w:val="auto"/>
              </w:rPr>
              <w:t>Operating and maintenance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63"/>
        </w:trPr>
        <w:tc>
          <w:tcPr>
            <w:tcW w:w="47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Amortization of UECs</w:t>
            </w:r>
          </w:p>
        </w:tc>
        <w:tc>
          <w:tcPr>
            <w:tcW w:w="33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Operating revenues or purchased power</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760" w:type="dxa"/>
            <w:vAlign w:val="bottom"/>
            <w:vMerge w:val="continue"/>
            <w:shd w:val="clear" w:color="auto" w:fill="CCEEFF"/>
          </w:tcPr>
          <w:p>
            <w:pPr>
              <w:spacing w:after="0"/>
              <w:rPr>
                <w:sz w:val="18"/>
                <w:szCs w:val="18"/>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 fuel</w:t>
            </w: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6"/>
                <w:szCs w:val="16"/>
                <w:color w:val="auto"/>
              </w:rPr>
              <w:t>Amortization of intangible assets, net</w:t>
            </w:r>
            <w:r>
              <w:rPr>
                <w:rFonts w:ascii="Arial" w:cs="Arial" w:eastAsia="Arial" w:hAnsi="Arial"/>
                <w:sz w:val="21"/>
                <w:szCs w:val="21"/>
                <w:color w:val="auto"/>
                <w:vertAlign w:val="superscript"/>
              </w:rPr>
              <w:t>(b)</w:t>
            </w:r>
          </w:p>
        </w:tc>
        <w:tc>
          <w:tcPr>
            <w:tcW w:w="334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2"/>
        </w:trPr>
        <w:tc>
          <w:tcPr>
            <w:tcW w:w="47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Other amortization</w:t>
            </w:r>
          </w:p>
        </w:tc>
        <w:tc>
          <w:tcPr>
            <w:tcW w:w="33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Operating revenues, purchased power and</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vMerge w:val="continue"/>
            <w:shd w:val="clear" w:color="auto" w:fill="CCEEFF"/>
          </w:tcPr>
          <w:p>
            <w:pPr>
              <w:spacing w:after="0"/>
              <w:rPr>
                <w:sz w:val="18"/>
                <w:szCs w:val="18"/>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fuel, or interest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6"/>
                <w:szCs w:val="16"/>
                <w:color w:val="auto"/>
              </w:rPr>
              <w:t>Total</w:t>
            </w: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Related to the amortization of acquired derivative contracts from the acquisition of Calpine.</w:t>
      </w:r>
    </w:p>
    <w:p>
      <w:pPr>
        <w:spacing w:after="0" w:line="19"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Primarily related to the amortization of customer relationships and trade names.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Note 18 — Supplemental Financial Information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gridSpan w:val="3"/>
          </w:tcPr>
          <w:p>
            <w:pPr>
              <w:jc w:val="right"/>
              <w:ind w:right="585"/>
              <w:spacing w:after="0"/>
              <w:rPr>
                <w:sz w:val="20"/>
                <w:szCs w:val="20"/>
                <w:color w:val="auto"/>
              </w:rPr>
            </w:pPr>
            <w:r>
              <w:rPr>
                <w:rFonts w:ascii="Arial" w:cs="Arial" w:eastAsia="Arial" w:hAnsi="Arial"/>
                <w:sz w:val="13"/>
                <w:szCs w:val="13"/>
                <w:b w:val="1"/>
                <w:bCs w:val="1"/>
                <w:color w:val="auto"/>
              </w:rPr>
              <w:t>CEG Parent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center"/>
              <w:ind w:left="547"/>
              <w:spacing w:after="0"/>
              <w:rPr>
                <w:sz w:val="20"/>
                <w:szCs w:val="20"/>
                <w:color w:val="auto"/>
              </w:rPr>
            </w:pPr>
            <w:r>
              <w:rPr>
                <w:rFonts w:ascii="Arial" w:cs="Arial" w:eastAsia="Arial" w:hAnsi="Arial"/>
                <w:sz w:val="13"/>
                <w:szCs w:val="13"/>
                <w:b w:val="1"/>
                <w:bCs w:val="1"/>
                <w:color w:val="auto"/>
                <w:w w:val="94"/>
              </w:rPr>
              <w:t>Constellation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480" w:type="dxa"/>
            <w:vAlign w:val="bottom"/>
          </w:tcPr>
          <w:p>
            <w:pPr>
              <w:spacing w:after="0" w:line="20" w:lineRule="exact"/>
              <w:rPr>
                <w:sz w:val="1"/>
                <w:szCs w:val="1"/>
                <w:color w:val="auto"/>
              </w:rPr>
            </w:pPr>
          </w:p>
        </w:tc>
        <w:tc>
          <w:tcPr>
            <w:tcW w:w="242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480" w:type="dxa"/>
            <w:vAlign w:val="bottom"/>
          </w:tcPr>
          <w:p>
            <w:pPr>
              <w:spacing w:after="0"/>
              <w:rPr>
                <w:sz w:val="15"/>
                <w:szCs w:val="15"/>
                <w:color w:val="auto"/>
              </w:rPr>
            </w:pPr>
          </w:p>
        </w:tc>
        <w:tc>
          <w:tcPr>
            <w:tcW w:w="2420" w:type="dxa"/>
            <w:vAlign w:val="bottom"/>
            <w:gridSpan w:val="4"/>
          </w:tcPr>
          <w:p>
            <w:pPr>
              <w:jc w:val="right"/>
              <w:ind w:right="5"/>
              <w:spacing w:after="0"/>
              <w:rPr>
                <w:sz w:val="20"/>
                <w:szCs w:val="20"/>
                <w:color w:val="auto"/>
              </w:rPr>
            </w:pPr>
            <w:r>
              <w:rPr>
                <w:rFonts w:ascii="Arial" w:cs="Arial" w:eastAsia="Arial" w:hAnsi="Arial"/>
                <w:sz w:val="13"/>
                <w:szCs w:val="13"/>
                <w:b w:val="1"/>
                <w:bCs w:val="1"/>
                <w:color w:val="auto"/>
              </w:rPr>
              <w:t>Three Months Ended March 31,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4"/>
          </w:tcPr>
          <w:p>
            <w:pPr>
              <w:jc w:val="center"/>
              <w:ind w:right="223"/>
              <w:spacing w:after="0"/>
              <w:rPr>
                <w:sz w:val="20"/>
                <w:szCs w:val="20"/>
                <w:color w:val="auto"/>
              </w:rPr>
            </w:pPr>
            <w:r>
              <w:rPr>
                <w:rFonts w:ascii="Arial" w:cs="Arial" w:eastAsia="Arial" w:hAnsi="Arial"/>
                <w:sz w:val="13"/>
                <w:szCs w:val="13"/>
                <w:b w:val="1"/>
                <w:bCs w:val="1"/>
                <w:color w:val="auto"/>
                <w:w w:val="96"/>
              </w:rPr>
              <w:t>Three Months Ended March 31,</w:t>
            </w:r>
          </w:p>
        </w:tc>
        <w:tc>
          <w:tcPr>
            <w:tcW w:w="0" w:type="dxa"/>
            <w:vAlign w:val="bottom"/>
          </w:tcPr>
          <w:p>
            <w:pPr>
              <w:spacing w:after="0"/>
              <w:rPr>
                <w:sz w:val="1"/>
                <w:szCs w:val="1"/>
                <w:color w:val="auto"/>
              </w:rPr>
            </w:pPr>
          </w:p>
        </w:tc>
      </w:tr>
      <w:tr>
        <w:trPr>
          <w:trHeight w:val="22"/>
        </w:trPr>
        <w:tc>
          <w:tcPr>
            <w:tcW w:w="5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Other non-cash operating activities</w:t>
            </w: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480" w:type="dxa"/>
            <w:vAlign w:val="bottom"/>
            <w:vMerge w:val="continue"/>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Arial" w:cs="Arial" w:eastAsia="Arial" w:hAnsi="Arial"/>
                <w:sz w:val="13"/>
                <w:szCs w:val="13"/>
                <w:b w:val="1"/>
                <w:bCs w:val="1"/>
                <w:color w:val="auto"/>
              </w:rPr>
              <w:t>2025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47"/>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463"/>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2"/>
        </w:trPr>
        <w:tc>
          <w:tcPr>
            <w:tcW w:w="5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Other decommissioning-related activity</w:t>
            </w:r>
            <w:r>
              <w:rPr>
                <w:rFonts w:ascii="Arial" w:cs="Arial" w:eastAsia="Arial" w:hAnsi="Arial"/>
                <w:sz w:val="21"/>
                <w:szCs w:val="21"/>
                <w:color w:val="auto"/>
                <w:vertAlign w:val="superscript"/>
              </w:rPr>
              <w:t>(a)</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ind w:left="503"/>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5"/>
        </w:trPr>
        <w:tc>
          <w:tcPr>
            <w:tcW w:w="5480" w:type="dxa"/>
            <w:vAlign w:val="bottom"/>
          </w:tcPr>
          <w:p>
            <w:pPr>
              <w:ind w:left="20"/>
              <w:spacing w:after="0"/>
              <w:rPr>
                <w:sz w:val="20"/>
                <w:szCs w:val="20"/>
                <w:color w:val="auto"/>
              </w:rPr>
            </w:pPr>
            <w:r>
              <w:rPr>
                <w:rFonts w:ascii="Arial" w:cs="Arial" w:eastAsia="Arial" w:hAnsi="Arial"/>
                <w:sz w:val="16"/>
                <w:szCs w:val="16"/>
                <w:color w:val="auto"/>
              </w:rPr>
              <w:t>Pension and non-pension postretirement benefit costs</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center"/>
              <w:ind w:left="503"/>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ind w:left="503"/>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center"/>
              <w:ind w:left="503"/>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hanging="332"/>
        <w:spacing w:after="0" w:line="265" w:lineRule="auto"/>
        <w:tabs>
          <w:tab w:leader="none" w:pos="3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the elimination of decommissioning-related activities for the Regulatory Agreement Units, including the elimination of operating revenues, ARO accretion, ARC amortization, investment income, and income taxes related to all NDT fund activity for these units.</w:t>
      </w:r>
    </w:p>
    <w:p>
      <w:pPr>
        <w:spacing w:after="0" w:line="3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provides a reconciliation of cash, restricted cash, and cash equivalents reported within our Consolidated Balance Sheets that sum to the total of the same amounts in the Consolidated Statements of Cash Flows.</w:t>
      </w:r>
    </w:p>
    <w:p>
      <w:pPr>
        <w:spacing w:after="0" w:line="138" w:lineRule="exact"/>
        <w:rPr>
          <w:sz w:val="20"/>
          <w:szCs w:val="20"/>
          <w:color w:val="auto"/>
        </w:rPr>
      </w:pPr>
    </w:p>
    <w:p>
      <w:pPr>
        <w:ind w:left="20"/>
        <w:spacing w:after="0"/>
        <w:tabs>
          <w:tab w:leader="none" w:pos="7720" w:val="left"/>
          <w:tab w:leader="none" w:pos="9800" w:val="left"/>
        </w:tabs>
        <w:rPr>
          <w:sz w:val="20"/>
          <w:szCs w:val="20"/>
          <w:color w:val="auto"/>
        </w:rPr>
      </w:pPr>
      <w:r>
        <w:rPr>
          <w:rFonts w:ascii="Arial" w:cs="Arial" w:eastAsia="Arial" w:hAnsi="Arial"/>
          <w:sz w:val="13"/>
          <w:szCs w:val="13"/>
          <w:b w:val="1"/>
          <w:bCs w:val="1"/>
          <w:color w:val="auto"/>
        </w:rPr>
        <w:t>March 31, 2026</w:t>
      </w:r>
      <w:r>
        <w:rPr>
          <w:sz w:val="20"/>
          <w:szCs w:val="20"/>
          <w:color w:val="auto"/>
        </w:rPr>
        <w:tab/>
      </w:r>
      <w:r>
        <w:rPr>
          <w:rFonts w:ascii="Arial" w:cs="Arial" w:eastAsia="Arial" w:hAnsi="Arial"/>
          <w:sz w:val="13"/>
          <w:szCs w:val="13"/>
          <w:b w:val="1"/>
          <w:bCs w:val="1"/>
          <w:color w:val="auto"/>
        </w:rPr>
        <w:t>CEG Parent</w:t>
      </w:r>
      <w:r>
        <w:rPr>
          <w:sz w:val="20"/>
          <w:szCs w:val="20"/>
          <w:color w:val="auto"/>
        </w:rPr>
        <w:tab/>
      </w:r>
      <w:r>
        <w:rPr>
          <w:rFonts w:ascii="Arial" w:cs="Arial" w:eastAsia="Arial" w:hAnsi="Arial"/>
          <w:sz w:val="12"/>
          <w:szCs w:val="12"/>
          <w:b w:val="1"/>
          <w:bCs w:val="1"/>
          <w:color w:val="auto"/>
        </w:rPr>
        <w:t>Constellation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8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restricted cash, and cash equivalents</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December 31, 2025</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8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0" w:type="dxa"/>
            <w:vAlign w:val="bottom"/>
          </w:tcPr>
          <w:p>
            <w:pPr>
              <w:spacing w:after="0"/>
              <w:rPr>
                <w:sz w:val="1"/>
                <w:szCs w:val="1"/>
                <w:color w:val="auto"/>
              </w:rPr>
            </w:pPr>
          </w:p>
        </w:tc>
      </w:tr>
      <w:tr>
        <w:trPr>
          <w:trHeight w:val="236"/>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restricted cash, and cash equivalents</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3,748</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March 31, 2025</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8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0" w:type="dxa"/>
            <w:vAlign w:val="bottom"/>
          </w:tcPr>
          <w:p>
            <w:pPr>
              <w:spacing w:after="0"/>
              <w:rPr>
                <w:sz w:val="1"/>
                <w:szCs w:val="1"/>
                <w:color w:val="auto"/>
              </w:rPr>
            </w:pPr>
          </w:p>
        </w:tc>
      </w:tr>
      <w:tr>
        <w:trPr>
          <w:trHeight w:val="236"/>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restricted cash, and cash equivalents</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additional information on restricted cash, see Note 1 — Basis of Presentation of our 2025 Form 10-K. Calpine's restricted cash balances, included in our balances as of March 31, 2026, align with our current policy or represent other agreements that require us to establish and maintain segregated cash accounts, the use of which is restricted, making these cash funds unavailable for general use.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18 — Supplemental Financial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Balance Sheet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provides additional information about material items recorded in the Consolidated Balance Sheets.</w:t>
      </w:r>
    </w:p>
    <w:p>
      <w:pPr>
        <w:spacing w:after="0" w:line="231" w:lineRule="exact"/>
        <w:rPr>
          <w:sz w:val="20"/>
          <w:szCs w:val="20"/>
          <w:color w:val="auto"/>
        </w:rPr>
      </w:pPr>
    </w:p>
    <w:p>
      <w:pPr>
        <w:ind w:left="20"/>
        <w:spacing w:after="0"/>
        <w:tabs>
          <w:tab w:leader="none" w:pos="7620" w:val="left"/>
          <w:tab w:leader="none" w:pos="9640" w:val="left"/>
        </w:tabs>
        <w:rPr>
          <w:sz w:val="20"/>
          <w:szCs w:val="20"/>
          <w:color w:val="auto"/>
        </w:rPr>
      </w:pPr>
      <w:r>
        <w:rPr>
          <w:rFonts w:ascii="Arial" w:cs="Arial" w:eastAsia="Arial" w:hAnsi="Arial"/>
          <w:sz w:val="13"/>
          <w:szCs w:val="13"/>
          <w:b w:val="1"/>
          <w:bCs w:val="1"/>
          <w:color w:val="auto"/>
        </w:rPr>
        <w:t>Inventories, net</w:t>
      </w:r>
      <w:r>
        <w:rPr>
          <w:sz w:val="20"/>
          <w:szCs w:val="20"/>
          <w:color w:val="auto"/>
        </w:rPr>
        <w:tab/>
      </w:r>
      <w:r>
        <w:rPr>
          <w:rFonts w:ascii="Arial" w:cs="Arial" w:eastAsia="Arial" w:hAnsi="Arial"/>
          <w:sz w:val="13"/>
          <w:szCs w:val="13"/>
          <w:b w:val="1"/>
          <w:bCs w:val="1"/>
          <w:color w:val="auto"/>
        </w:rPr>
        <w:t>March 31, 2026</w:t>
      </w:r>
      <w:r>
        <w:rPr>
          <w:sz w:val="20"/>
          <w:szCs w:val="20"/>
          <w:color w:val="auto"/>
        </w:rPr>
        <w:tab/>
      </w:r>
      <w:r>
        <w:rPr>
          <w:rFonts w:ascii="Arial" w:cs="Arial" w:eastAsia="Arial" w:hAnsi="Arial"/>
          <w:sz w:val="12"/>
          <w:szCs w:val="12"/>
          <w:b w:val="1"/>
          <w:bCs w:val="1"/>
          <w:color w:val="auto"/>
        </w:rPr>
        <w:t>December 31, 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Materials and supplies</w:t>
            </w:r>
          </w:p>
        </w:tc>
        <w:tc>
          <w:tcPr>
            <w:tcW w:w="26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1,485</w:t>
            </w:r>
          </w:p>
        </w:tc>
      </w:tr>
      <w:tr>
        <w:trPr>
          <w:trHeight w:val="237"/>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Natural gas, oil, and emission allowances</w:t>
            </w:r>
          </w:p>
        </w:tc>
        <w:tc>
          <w:tcPr>
            <w:tcW w:w="26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251</w:t>
            </w:r>
          </w:p>
        </w:tc>
      </w:tr>
      <w:tr>
        <w:trPr>
          <w:trHeight w:val="263"/>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2,582</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1,736</w:t>
            </w:r>
          </w:p>
        </w:tc>
      </w:tr>
      <w:tr>
        <w:trPr>
          <w:trHeight w:val="20"/>
        </w:trPr>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r>
      <w:tr>
        <w:trPr>
          <w:trHeight w:val="479"/>
        </w:trPr>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6"/>
          </w:tcPr>
          <w:p>
            <w:pPr>
              <w:ind w:left="1140"/>
              <w:spacing w:after="0"/>
              <w:rPr>
                <w:sz w:val="20"/>
                <w:szCs w:val="20"/>
                <w:color w:val="auto"/>
              </w:rPr>
            </w:pPr>
            <w:r>
              <w:rPr>
                <w:rFonts w:ascii="Arial" w:cs="Arial" w:eastAsia="Arial" w:hAnsi="Arial"/>
                <w:sz w:val="13"/>
                <w:szCs w:val="13"/>
                <w:b w:val="1"/>
                <w:bCs w:val="1"/>
                <w:color w:val="auto"/>
              </w:rPr>
              <w:t>CEG Parent</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6"/>
          </w:tcPr>
          <w:p>
            <w:pPr>
              <w:jc w:val="right"/>
              <w:ind w:right="1281"/>
              <w:spacing w:after="0"/>
              <w:rPr>
                <w:sz w:val="20"/>
                <w:szCs w:val="20"/>
                <w:color w:val="auto"/>
              </w:rPr>
            </w:pPr>
            <w:r>
              <w:rPr>
                <w:rFonts w:ascii="Arial" w:cs="Arial" w:eastAsia="Arial" w:hAnsi="Arial"/>
                <w:sz w:val="13"/>
                <w:szCs w:val="13"/>
                <w:b w:val="1"/>
                <w:bCs w:val="1"/>
                <w:color w:val="auto"/>
                <w:w w:val="99"/>
              </w:rPr>
              <w:t>Constellation</w:t>
            </w:r>
          </w:p>
        </w:tc>
      </w:tr>
      <w:tr>
        <w:trPr>
          <w:trHeight w:val="22"/>
        </w:trPr>
        <w:tc>
          <w:tcPr>
            <w:tcW w:w="4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Accounts payable and accrued expenses</w:t>
            </w:r>
          </w:p>
        </w:tc>
        <w:tc>
          <w:tcPr>
            <w:tcW w:w="2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March 31, 2026</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December 31, 2025</w:t>
            </w: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March 31, 2026</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3"/>
                <w:szCs w:val="13"/>
                <w:b w:val="1"/>
                <w:bCs w:val="1"/>
                <w:color w:val="auto"/>
              </w:rPr>
              <w:t>December 31, 2025</w:t>
            </w:r>
          </w:p>
        </w:tc>
      </w:tr>
      <w:tr>
        <w:trPr>
          <w:trHeight w:val="229"/>
        </w:trPr>
        <w:tc>
          <w:tcPr>
            <w:tcW w:w="40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2,708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2,697</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2,801</w:t>
            </w:r>
          </w:p>
        </w:tc>
      </w:tr>
      <w:tr>
        <w:trPr>
          <w:trHeight w:val="251"/>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Compensation-related accruals</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672</w:t>
            </w: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Taxes accrued</w:t>
            </w:r>
            <w:r>
              <w:rPr>
                <w:rFonts w:ascii="Arial" w:cs="Arial" w:eastAsia="Arial" w:hAnsi="Arial"/>
                <w:sz w:val="21"/>
                <w:szCs w:val="21"/>
                <w:color w:val="auto"/>
                <w:vertAlign w:val="superscript"/>
              </w:rPr>
              <w:t>(b)</w:t>
            </w:r>
          </w:p>
        </w:tc>
        <w:tc>
          <w:tcPr>
            <w:tcW w:w="260" w:type="dxa"/>
            <w:vAlign w:val="bottom"/>
          </w:tcPr>
          <w:p>
            <w:pPr>
              <w:spacing w:after="0"/>
              <w:rPr>
                <w:sz w:val="21"/>
                <w:szCs w:val="21"/>
                <w:color w:val="auto"/>
              </w:rPr>
            </w:pPr>
          </w:p>
        </w:tc>
        <w:tc>
          <w:tcPr>
            <w:tcW w:w="1440" w:type="dxa"/>
            <w:vAlign w:val="bottom"/>
          </w:tcPr>
          <w:p>
            <w:pPr>
              <w:jc w:val="right"/>
              <w:ind w:right="4"/>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245</w:t>
            </w:r>
          </w:p>
        </w:tc>
      </w:tr>
      <w:tr>
        <w:trPr>
          <w:trHeight w:val="23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expenses</w:t>
            </w: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315</w:t>
            </w: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4,449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4,294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4,324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4,033</w:t>
            </w:r>
          </w:p>
        </w:tc>
      </w:tr>
      <w:tr>
        <w:trPr>
          <w:trHeight w:val="21"/>
        </w:trPr>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Primarily includes accrued payroll, bonuses and other incentives, vacation, and benefits.</w:t>
      </w:r>
    </w:p>
    <w:p>
      <w:pPr>
        <w:spacing w:after="0" w:line="15"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$375 million as of December 31, 2025, related to nuclear PTC that was used to offset the current tax liability. No credits were utilized in the first quarter of 2026. See Note 6 — Government Assistance for additional information on the nuclear PTC.</w:t>
      </w:r>
    </w:p>
    <w:p>
      <w:pPr>
        <w:spacing w:after="0" w:line="10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following table provides additional information about investments included in Other deferred debits and other assets in the Consolidated Balance Sheets.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80" w:type="dxa"/>
            <w:vAlign w:val="bottom"/>
          </w:tcPr>
          <w:p>
            <w:pPr>
              <w:ind w:left="20"/>
              <w:spacing w:after="0"/>
              <w:rPr>
                <w:sz w:val="20"/>
                <w:szCs w:val="20"/>
                <w:color w:val="auto"/>
              </w:rPr>
            </w:pPr>
            <w:r>
              <w:rPr>
                <w:rFonts w:ascii="Arial" w:cs="Arial" w:eastAsia="Arial" w:hAnsi="Arial"/>
                <w:sz w:val="13"/>
                <w:szCs w:val="13"/>
                <w:b w:val="1"/>
                <w:bCs w:val="1"/>
                <w:color w:val="auto"/>
              </w:rPr>
              <w:t>Investments</w:t>
            </w:r>
          </w:p>
        </w:tc>
        <w:tc>
          <w:tcPr>
            <w:tcW w:w="340" w:type="dxa"/>
            <w:vAlign w:val="bottom"/>
          </w:tcPr>
          <w:p>
            <w:pPr>
              <w:spacing w:after="0"/>
              <w:rPr>
                <w:sz w:val="14"/>
                <w:szCs w:val="14"/>
                <w:color w:val="auto"/>
              </w:rPr>
            </w:pPr>
          </w:p>
        </w:tc>
        <w:tc>
          <w:tcPr>
            <w:tcW w:w="1800" w:type="dxa"/>
            <w:vAlign w:val="bottom"/>
            <w:gridSpan w:val="2"/>
          </w:tcPr>
          <w:p>
            <w:pPr>
              <w:ind w:left="220"/>
              <w:spacing w:after="0"/>
              <w:rPr>
                <w:sz w:val="20"/>
                <w:szCs w:val="20"/>
                <w:color w:val="auto"/>
              </w:rPr>
            </w:pPr>
            <w:r>
              <w:rPr>
                <w:rFonts w:ascii="Arial" w:cs="Arial" w:eastAsia="Arial" w:hAnsi="Arial"/>
                <w:sz w:val="13"/>
                <w:szCs w:val="13"/>
                <w:b w:val="1"/>
                <w:bCs w:val="1"/>
                <w:color w:val="auto"/>
              </w:rPr>
              <w:t>March 31, 2026</w:t>
            </w:r>
          </w:p>
        </w:tc>
        <w:tc>
          <w:tcPr>
            <w:tcW w:w="280" w:type="dxa"/>
            <w:vAlign w:val="bottom"/>
          </w:tcPr>
          <w:p>
            <w:pPr>
              <w:spacing w:after="0"/>
              <w:rPr>
                <w:sz w:val="14"/>
                <w:szCs w:val="14"/>
                <w:color w:val="auto"/>
              </w:rPr>
            </w:pPr>
          </w:p>
        </w:tc>
        <w:tc>
          <w:tcPr>
            <w:tcW w:w="1740" w:type="dxa"/>
            <w:vAlign w:val="bottom"/>
          </w:tcPr>
          <w:p>
            <w:pPr>
              <w:jc w:val="right"/>
              <w:ind w:right="362"/>
              <w:spacing w:after="0"/>
              <w:rPr>
                <w:sz w:val="20"/>
                <w:szCs w:val="20"/>
                <w:color w:val="auto"/>
              </w:rPr>
            </w:pPr>
            <w:r>
              <w:rPr>
                <w:rFonts w:ascii="Arial" w:cs="Arial" w:eastAsia="Arial" w:hAnsi="Arial"/>
                <w:sz w:val="13"/>
                <w:szCs w:val="13"/>
                <w:b w:val="1"/>
                <w:bCs w:val="1"/>
                <w:color w:val="auto"/>
              </w:rPr>
              <w:t>December 31, 2025</w:t>
            </w:r>
          </w:p>
        </w:tc>
      </w:tr>
      <w:tr>
        <w:trPr>
          <w:trHeight w:val="22"/>
        </w:trPr>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6"/>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investments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auto"/>
              </w:rPr>
              <w:t>Other investments:</w:t>
            </w: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1"/>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benefit trusts and investments</w:t>
            </w:r>
            <w:r>
              <w:rPr>
                <w:rFonts w:ascii="Arial" w:cs="Arial" w:eastAsia="Arial" w:hAnsi="Arial"/>
                <w:sz w:val="21"/>
                <w:szCs w:val="21"/>
                <w:color w:val="auto"/>
                <w:vertAlign w:val="superscript"/>
              </w:rPr>
              <w:t>(a)</w:t>
            </w:r>
          </w:p>
        </w:tc>
        <w:tc>
          <w:tcPr>
            <w:tcW w:w="3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w:t>
            </w:r>
          </w:p>
        </w:tc>
      </w:tr>
      <w:tr>
        <w:trPr>
          <w:trHeight w:val="243"/>
        </w:trPr>
        <w:tc>
          <w:tcPr>
            <w:tcW w:w="7080" w:type="dxa"/>
            <w:vAlign w:val="bottom"/>
          </w:tcPr>
          <w:p>
            <w:pPr>
              <w:ind w:left="360"/>
              <w:spacing w:after="0"/>
              <w:rPr>
                <w:sz w:val="20"/>
                <w:szCs w:val="20"/>
                <w:color w:val="auto"/>
              </w:rPr>
            </w:pPr>
            <w:r>
              <w:rPr>
                <w:rFonts w:ascii="Arial" w:cs="Arial" w:eastAsia="Arial" w:hAnsi="Arial"/>
                <w:sz w:val="16"/>
                <w:szCs w:val="16"/>
                <w:color w:val="auto"/>
              </w:rPr>
              <w:t>Equity investments with readily determinable fair values</w:t>
            </w:r>
            <w:r>
              <w:rPr>
                <w:rFonts w:ascii="Arial" w:cs="Arial" w:eastAsia="Arial" w:hAnsi="Arial"/>
                <w:sz w:val="21"/>
                <w:szCs w:val="21"/>
                <w:color w:val="auto"/>
                <w:vertAlign w:val="superscript"/>
              </w:rPr>
              <w:t>(b)</w:t>
            </w:r>
          </w:p>
        </w:tc>
        <w:tc>
          <w:tcPr>
            <w:tcW w:w="340" w:type="dxa"/>
            <w:vAlign w:val="bottom"/>
          </w:tcPr>
          <w:p>
            <w:pPr>
              <w:spacing w:after="0"/>
              <w:rPr>
                <w:sz w:val="21"/>
                <w:szCs w:val="21"/>
                <w:color w:val="auto"/>
              </w:rPr>
            </w:pP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43"/>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investments without readily determinable fair values</w:t>
            </w:r>
          </w:p>
        </w:tc>
        <w:tc>
          <w:tcPr>
            <w:tcW w:w="3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36"/>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available for sale debt security investments</w:t>
            </w: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6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Debt and equity security investments are recorded at fair market value.</w:t>
      </w:r>
    </w:p>
    <w:p>
      <w:pPr>
        <w:spacing w:after="0" w:line="14" w:lineRule="exact"/>
        <w:rPr>
          <w:rFonts w:ascii="Arial" w:cs="Arial" w:eastAsia="Arial" w:hAnsi="Arial"/>
          <w:sz w:val="14"/>
          <w:szCs w:val="14"/>
          <w:color w:val="auto"/>
        </w:rPr>
      </w:pPr>
    </w:p>
    <w:p>
      <w:pPr>
        <w:ind w:left="340" w:right="20" w:hanging="332"/>
        <w:spacing w:after="0" w:line="264"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Does not include the equity investments with readily determinable fair values that are recorded in Other current assets in the Consolidated Balance Sheets. See Note 14 — Fair Value of Financial Assets and Liabilities for additional information on investments in equities.</w:t>
      </w:r>
    </w:p>
    <w:p>
      <w:pPr>
        <w:spacing w:after="0" w:line="16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millions except per share data, unless otherwise noted)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Overview</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Constellation Energy Corporation, a Fortune 200 company headquartered in Baltimore, is the largest private-sector power producer in the world and the nation’s largest producer of clean and reliable energy. With 55 gigawatts of capacity from nuclear, natural gas, oil, geothermal, hydro, wind and solar facilities, our fleet has the generating capacity to power the equivalent of 27 million homes, providing about 10% of the nation’s clean energy and delivering the around-the-clock reliability needed to power America’s growing economy. We are also the largest nuclear energy company in the U.S. and a leading competitive retail supplier, serving approximately 2.5 million customer accounts nationwide, including 80% of the Fortune 100. We are committed to investing in innovation and new technologies to drive the transition to a reliable, sustainable and secure energy future.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Transactions and Developments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Calpine Corporation</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January 7, 2026, we acquired 100% of the outstanding equity of Calpine for a purchase price of approximately $21.8 billion. The merger consideration consisted of 50 million newly issued shares of our common stock, no par value, and approximately $4.5 billion in cash on hand. After considering divestitures connected with certain regulatory approvals, Calpine owns and operates a generation fleet of predominantly natural gas, geothermal, battery storage, and solar assets with approximately 23 GWs of generation capacity, in addition to a competitive retail electric supplier platform serving approximately 62 TWhs of load annually.</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acquisition is complementary to, and aligns strategically with, our existing business operations and provides both increased scale and meaningful market diversification. The merger couples the largest producer of clean, emissions-free energy with the reliable, dispatchable natural gas assets of Calpine, and also creates the nation’s leading competitive retail electric supplier, providing increased scale, diversification and complementary capabilities that enable us to meet growing demand with a broader array of energy and sustainability products. The addition of Calpine strengthens our essential role in providing clean, reliable energy as the nation seeks to transition to a more sustainable future, and will better position us to pursue investments in new and existing technologies to meet growing demand.</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March 2026, we entered into an agreement with LS Power Equity Advisors, LLC to sell five natural gas-fired generating facilities with approximately 4.4 GWs of capacity from Calpine's portfolio of generation assets located in PJM to satisfy regulatory commitments related to our acquisition of Calpine. The transaction is valued at $5.0 billion before closing adjustments and remains subject to customary closing conditions, including receipt of applicable regulatory approvals. Completion of this transaction, together with the planned divestiture of an additional ERCOT facility, is expected to satisfy the remaining regulatory commitments related to the merger.</w:t>
      </w:r>
    </w:p>
    <w:p>
      <w:pPr>
        <w:spacing w:after="0" w:line="11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See Note 2 — Mergers, Acquisitions, and Dispositions and Note 13 — Debt and Credit Agreements of the Combined Notes to Consolidated Financial Statements for additional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Data Center Facility at Freestone Energy Center</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first quarter of 2026, we signed a new 380 MW agreement with Dallas-based CyrusOne, a leading global data center developer and operator, to connect and serve a new data center adjacent to the Freestone Energy Center, in Freestone County, Texas. The agreement provides CyrusOne with access to power, grid connectivity and site infrastructure needed to support development of the new facility, while ensuring electricity continues to flow to the regional grid and ensuring reliability for all customers and communities. Calpine has also entered into an exclusive agreement to provide power, grid connectivity and site infrastructure for Phase 2, which will be an additional 380 MWs. These agreements are in addition to the 400 MW agreements announced in the second half of last year between Calpine and CyrusOne for the Thad Hill Energy Center in Bosque County, Texas.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Pastoria Solar Project</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April 2026, we celebrated the commissioning of the 105 MW Pastoria Solar Project, the largest renewable energy project contracted by the California Department of Water Resources to date in its mission to fully decarbonize its operations by 2035. The Pastoria Solar Project connects to the grid through the interconnection facilities at our highly efficient 750 MW natural gas-fired combined-cycle generating facility. Also, co-located with the Pastoria Solar Project is the Pastoria Power Bank, a 80 MW/320 MWh Battery Energy Storage System, which will be coming online during the spring/summer of 2026. The Pastoria Power Bank is contracted and supported by a 15-year power purchase agreement with Pacific Gas and Electric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 Oak Creek Energy Center</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April 2026, our Pin Oak Creek Energy Center achieved commercial operation. Pin Oak Creek is a 460-megawatt, state-of-the-art natural gas facility designed to provide reliable, dispatchable power to the ERCOT grid. As a peaking facility, it is built to operate when demand is highest and reliability matters most, while also maintaining the flexibility to run longer if system conditions require it. The project is a direct response to Texas’ continued growth and increasing electricity demand across homes, businesses, and industry. Pin Oak Creek will play a critical role in strengthening grid reliability and supporting the state’s economic momentum.</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Key Business Drivers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PJM Market Reform</w:t>
      </w:r>
    </w:p>
    <w:p>
      <w:pPr>
        <w:spacing w:after="0" w:line="176" w:lineRule="exact"/>
        <w:rPr>
          <w:sz w:val="20"/>
          <w:szCs w:val="20"/>
          <w:color w:val="auto"/>
        </w:rPr>
      </w:pPr>
    </w:p>
    <w:p>
      <w:pPr>
        <w:jc w:val="both"/>
        <w:spacing w:after="0" w:line="198" w:lineRule="exact"/>
        <w:rPr>
          <w:sz w:val="20"/>
          <w:szCs w:val="20"/>
          <w:color w:val="auto"/>
        </w:rPr>
      </w:pPr>
      <w:r>
        <w:rPr>
          <w:rFonts w:ascii="Arial" w:cs="Arial" w:eastAsia="Arial" w:hAnsi="Arial"/>
          <w:sz w:val="16"/>
          <w:szCs w:val="16"/>
          <w:color w:val="auto"/>
        </w:rPr>
        <w:t>In January 2026, the National Energy Dominance Council, with support from Governors within the PJM territory, urged PJM to file proposed tariff revisions at FERC to improve reliability and cost-effectiveness within its capacity auctions. During the first quarter of 2026, PJM began stakeholder discussions and preparatory work in response to this directive, including evaluation of a potential reliability backstop mechanism, enhancements to large load forecasting methodologies, and actions to accelerate generator interconnection studies. In February 2026, PJM filed tariff revisions proposing to extend the existing RPM capacity market price collar—consisting of a price cap of approximately $325/MW</w:t>
      </w:r>
      <w:r>
        <w:rPr>
          <w:rFonts w:ascii="MS PGothic" w:cs="MS PGothic" w:eastAsia="MS PGothic" w:hAnsi="MS PGothic"/>
          <w:sz w:val="16"/>
          <w:szCs w:val="16"/>
          <w:color w:val="auto"/>
        </w:rPr>
        <w:t>‑</w:t>
      </w:r>
      <w:r>
        <w:rPr>
          <w:rFonts w:ascii="Arial" w:cs="Arial" w:eastAsia="Arial" w:hAnsi="Arial"/>
          <w:sz w:val="16"/>
          <w:szCs w:val="16"/>
          <w:color w:val="auto"/>
        </w:rPr>
        <w:t>day and a price floor of approximately $175/MW</w:t>
      </w:r>
      <w:r>
        <w:rPr>
          <w:rFonts w:ascii="MS PGothic" w:cs="MS PGothic" w:eastAsia="MS PGothic" w:hAnsi="MS PGothic"/>
          <w:sz w:val="16"/>
          <w:szCs w:val="16"/>
          <w:color w:val="auto"/>
        </w:rPr>
        <w:t>‑</w:t>
      </w:r>
      <w:r>
        <w:rPr>
          <w:rFonts w:ascii="Arial" w:cs="Arial" w:eastAsia="Arial" w:hAnsi="Arial"/>
          <w:sz w:val="16"/>
          <w:szCs w:val="16"/>
          <w:color w:val="auto"/>
        </w:rPr>
        <w:t>day—for the 2028/2029 and 2029/2030 Base Residual Auctions. In an order issued by FERC in April 2026, FERC accepted PJM’s tariff revisions, allowing the continued application of the price collar for the specified delivery years. The Commission found the filing sufficiently justified to proceed, citing ongoing reliability concerns and extraordinary demand growth, including data center load expansion, and anticipated market reforms.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FERC Issues Order in PJM Show Cause Proceeding</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December 2025, FERC issued a draft order finding PJM's tariff unjust and unreasonable as it relates to colocated load, citing lack of sufficient clarity and consistency regarding rates, terms, and conditions of service for interconnection customers serving co-located load. The draft order also found that behind-the-meter generation rules in PJM's current tariff are no longer appropriate. PJM's current tariff requires that all co-located load be served through the PJM transmission system and that any planned modifications to generating facilities would require reliability studies and be subject to PJM's approval. FERC is now directing PJM to revise its tariff to: a) detail the terms and conditions for interconnection customers serving co-located load, b) require transmission customers serving co-located load to choose from four specific service options, and c) revise behind-the-meter generation rules, including the development of a transition period and grandfather clause for certain existing contracts. Through the date of this filing, PJM had not filed its final compliance tariff revisions, and the ultimate form and timing of these changes remain subject to further stakeholder processes and FERC review.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Russia and Ukraine Conflict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closely monitoring developments of the ongoing Russia and Ukraine conflict, including United States, United Kingdom, European Union, and Canadian sanctions, and legislation that may impact exports and imports of Russian nuclear fuel supply and enrichment activities, as well as the potential for Russia to limit fuel deliveries. The U.S. “Prohibiting Russian Uranium Imports Act” became effective in August 2024, banning the import of low-enriched uranium into the U.S. that is produced in Russia or by Russian entities, absent a waiver from the DOE. Under a corollary bill, the Department of Energy has begun the process of distributing billions of dollars to support expansion of the domestic nuclear fuel cycle within the United States to improve emissions-free energy security. In November 2024, the Russian government issued a decree imposing temporary restrictions on the export of enriched uranium from Russia to the U.S. but allowing for a special Russian export license to be issued for individual shipments. Our nuclear fuel is obtained predominantly through long-term uranium supply and service contracts. We work with a diverse set of domestic and international suppliers years in advance to procure our nuclear fuel to support our refueling needs and mitigate the risk of exposure to Russian nuclear fuel supply. Recognizing the potential for the continuing conflict to impact our longer-term security and cost of supply, we have entered into contracts to increase the size of our nuclear fuel inventory. Our fuel procurement activities comply with all U.S. and international trade laws and we continue to take advantage of all available avenues to maintain continuity in our nuclear fuel supply, including working with the U.S. Government and our diverse set of suppliers to secure the nuclear fuel needed to continue to operate our nuclear fleet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California Assembly Bill 32, as amended by Senate Bill 32 in 2016, directed the California Air Resources Board (CARB) to adopt regulations to achieve the maximum technologically feasible and cost-effective reductions in GHG emissions, targeting statewide GHG emissions at 1990 levels by 2020 and to at least 40% below 1990 levels by 2030. The California Climate Crisis Act was enacted in 2022 and further establishes the state's policy to achieve net zero GHG emissions as soon as possible, but no later than 2045, and to reduce statewide anthropogenic GHG emissions to 85% below 1990 levels by 2045. To achieve these targets, CARB has promulgated complementary regulatory measures, including the Cap-and-Trade Program and Mandatory Greenhouse Gas Emissions Reporting Regulation. Covered entities, such as our power plants, must surrender compliance instruments, which include both allowances and offset credits, in an amount equivalent to their GHG emissions. Assembly Bill 398, enacted in 2017, authorized the extension of the Cap-and-Trade Program through 2030 and required several changes to the program, including establishing a price ceiling and other price mitigative mechanisms and limiting the amount of offsets allowed to comply with the regulation. In September 2025, California Governor Gavin Newsom signed AB 1207 and SB 840 into law, extending the state’s Cap-and-Trade Program through January 1, 2046, and renaming it the “Cap and Invest" Program.</w:t>
      </w:r>
    </w:p>
    <w:p>
      <w:pPr>
        <w:spacing w:after="0" w:line="12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September 2021, Illinois Governor JB Pritzker signed into law the Climate and Equitable Jobs Act, which, among other things, establishes a schedule for eliminating CO2 emissions by EGUs. Under that schedule, privately owned natural gas units that exceed an established level of NOx or SO</w:t>
      </w:r>
      <w:r>
        <w:rPr>
          <w:rFonts w:ascii="Arial" w:cs="Arial" w:eastAsia="Arial" w:hAnsi="Arial"/>
          <w:sz w:val="21"/>
          <w:szCs w:val="21"/>
          <w:color w:val="auto"/>
          <w:vertAlign w:val="subscript"/>
        </w:rPr>
        <w:t>2</w:t>
      </w:r>
      <w:r>
        <w:rPr>
          <w:rFonts w:ascii="Arial" w:cs="Arial" w:eastAsia="Arial" w:hAnsi="Arial"/>
          <w:sz w:val="16"/>
          <w:szCs w:val="16"/>
          <w:color w:val="auto"/>
        </w:rPr>
        <w:t xml:space="preserve"> emissions and are located within three miles of an environmental justice community, or an equity investment-eligible community must permanently eliminate CO2 and co-pollutant emissions by January 1, 2030, subject to certain reliability exceptions. Unless relief from the requirements is provided this could require our natural gas generation facility Zion Energy Center, acquired as part of Calpine, to shut down by January 2030.</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See ITEM 1. BUSINESS, Environmental Matters and Regulation of our 2025 Form 10-K for additional information on environmental legislation and regulation we are subject to.</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makes a number of significant estimates, assumptions, and judgments in the preparation of our financial statements. At March 31, 2026, our critical accounting policies and estimates had not changed significantly from December 31, 2025. See ITEM 7. MANAGEMENT'S DISCUSSION AND ANALYSIS OF FINANCIAL CONDITION AND RESULTS OF OPERATIONS — Critical Accounting Policies and Estimates of our 2025 Form 10-K for further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 of Operations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GAAP Results of Operations. </w:t>
      </w:r>
      <w:r>
        <w:rPr>
          <w:rFonts w:ascii="Arial" w:cs="Arial" w:eastAsia="Arial" w:hAnsi="Arial"/>
          <w:sz w:val="16"/>
          <w:szCs w:val="16"/>
          <w:color w:val="auto"/>
        </w:rPr>
        <w:t>The following table sets forth our consolidated GAAP Net Income (Loss) Attributable to Common Shareholders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2026 compared to the same period in 2025. For additional information regarding the financial results for the three months ended March 31, 2026 and 2025, see the discussions of Results of Operations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spacing w:after="0"/>
              <w:rPr>
                <w:sz w:val="14"/>
                <w:szCs w:val="14"/>
                <w:color w:val="auto"/>
              </w:rPr>
            </w:pPr>
          </w:p>
        </w:tc>
        <w:tc>
          <w:tcPr>
            <w:tcW w:w="2660" w:type="dxa"/>
            <w:vAlign w:val="bottom"/>
            <w:gridSpan w:val="4"/>
          </w:tcPr>
          <w:p>
            <w:pPr>
              <w:ind w:left="620"/>
              <w:spacing w:after="0"/>
              <w:rPr>
                <w:sz w:val="20"/>
                <w:szCs w:val="20"/>
                <w:color w:val="auto"/>
              </w:rPr>
            </w:pPr>
            <w:r>
              <w:rPr>
                <w:rFonts w:ascii="Arial" w:cs="Arial" w:eastAsia="Arial" w:hAnsi="Arial"/>
                <w:sz w:val="13"/>
                <w:szCs w:val="13"/>
                <w:b w:val="1"/>
                <w:bCs w:val="1"/>
                <w:color w:val="auto"/>
              </w:rPr>
              <w:t>Three Months Ended March 31,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
        </w:trPr>
        <w:tc>
          <w:tcPr>
            <w:tcW w:w="6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2"/>
        </w:trPr>
        <w:tc>
          <w:tcPr>
            <w:tcW w:w="64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2026</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 Change</w:t>
            </w:r>
          </w:p>
        </w:tc>
      </w:tr>
      <w:tr>
        <w:trPr>
          <w:trHeight w:val="240"/>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Net Income (Loss) Attributable to Common Shareholders</w:t>
            </w:r>
          </w:p>
        </w:tc>
        <w:tc>
          <w:tcPr>
            <w:tcW w:w="960" w:type="dxa"/>
            <w:vAlign w:val="bottom"/>
            <w:shd w:val="clear" w:color="auto" w:fill="CCEEFF"/>
          </w:tcPr>
          <w:p>
            <w:pPr>
              <w:jc w:val="right"/>
              <w:ind w:right="79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48"/>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1,472</w:t>
            </w: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 xml:space="preserve">Adjusted (non-GAAP) Operating Earnings. </w:t>
      </w:r>
      <w:r>
        <w:rPr>
          <w:rFonts w:ascii="Arial" w:cs="Arial" w:eastAsia="Arial" w:hAnsi="Arial"/>
          <w:sz w:val="16"/>
          <w:szCs w:val="16"/>
          <w:color w:val="auto"/>
        </w:rPr>
        <w:t>We utilize Adjusted (non-GAAP) Operating Earnings (and/or its per share equivalent) in our internal analysis,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 communications with investors and analysts, as a consistent measure for comparing our financial performance and discussing the factors and trends affecting our business. The presentation of Adjusted (non-GAAP) Operating Earnings is intended to complement and should not be considered an alternative to, nor more useful than, the presentation of GAAP Net Income.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table below provides a reconciliation of GAAP Net Income to Adjusted (non-GAAP) Operating Earnings. Adjusted (non-GAAP) Operating Earnings is not a standardized financial measure and may not be comparable to other companies’ presentations of similarly titled measures.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Unless otherwise noted, the income tax impact of each reconciling adjustment between GAAP Net Income (Loss) Attributable to Common Shareholders and Adjusted (non-GAAP) Operating Earnings is based on the marginal statutory federal and state income tax rates, taking into account whether the income or expense item is taxable or deductible, respectively, in whole or in part, which may result in an effective tax rate that differs from the marginal rate. The marginal statutory income tax rate was 25.5% for the three months ended March 31, 2026 and 2025. The following table provides a reconciliation between GAAP Net Income (Loss) Attributable to Common Shareholders and Adjusted (non-GAAP) Operating Earnings for the three months ended March 31, 2026 compared to the same period in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jc w:val="right"/>
              <w:ind w:right="99"/>
              <w:spacing w:after="0"/>
              <w:rPr>
                <w:sz w:val="20"/>
                <w:szCs w:val="20"/>
                <w:color w:val="auto"/>
              </w:rPr>
            </w:pPr>
            <w:r>
              <w:rPr>
                <w:rFonts w:ascii="Arial" w:cs="Arial" w:eastAsia="Arial" w:hAnsi="Arial"/>
                <w:sz w:val="13"/>
                <w:szCs w:val="13"/>
                <w:b w:val="1"/>
                <w:bCs w:val="1"/>
                <w:color w:val="auto"/>
              </w:rPr>
              <w:t>Three Months Ended March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
        </w:trPr>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4"/>
        </w:trPr>
        <w:tc>
          <w:tcPr>
            <w:tcW w:w="6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2026</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89"/>
              </w:rPr>
              <w:t>2025</w:t>
            </w:r>
          </w:p>
        </w:tc>
        <w:tc>
          <w:tcPr>
            <w:tcW w:w="1000" w:type="dxa"/>
            <w:vAlign w:val="bottom"/>
          </w:tcPr>
          <w:p>
            <w:pPr>
              <w:spacing w:after="0"/>
              <w:rPr>
                <w:sz w:val="15"/>
                <w:szCs w:val="15"/>
                <w:color w:val="auto"/>
              </w:rPr>
            </w:pPr>
          </w:p>
        </w:tc>
      </w:tr>
      <w:tr>
        <w:trPr>
          <w:trHeight w:val="22"/>
        </w:trPr>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1"/>
        </w:trPr>
        <w:tc>
          <w:tcPr>
            <w:tcW w:w="6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 Per</w:t>
            </w: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102"/>
              <w:spacing w:after="0"/>
              <w:rPr>
                <w:sz w:val="20"/>
                <w:szCs w:val="20"/>
                <w:color w:val="auto"/>
              </w:rPr>
            </w:pPr>
            <w:r>
              <w:rPr>
                <w:rFonts w:ascii="Arial" w:cs="Arial" w:eastAsia="Arial" w:hAnsi="Arial"/>
                <w:sz w:val="13"/>
                <w:szCs w:val="13"/>
                <w:b w:val="1"/>
                <w:bCs w:val="1"/>
                <w:color w:val="auto"/>
                <w:w w:val="99"/>
              </w:rPr>
              <w:t>Earnings Per</w:t>
            </w:r>
          </w:p>
        </w:tc>
      </w:tr>
      <w:tr>
        <w:trPr>
          <w:trHeight w:val="19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 except per share data)</w:t>
            </w:r>
          </w:p>
        </w:tc>
        <w:tc>
          <w:tcPr>
            <w:tcW w:w="3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Share</w:t>
            </w:r>
            <w:r>
              <w:rPr>
                <w:rFonts w:ascii="Arial" w:cs="Arial" w:eastAsia="Arial" w:hAnsi="Arial"/>
                <w:sz w:val="16"/>
                <w:szCs w:val="16"/>
                <w:b w:val="1"/>
                <w:bCs w:val="1"/>
                <w:color w:val="auto"/>
                <w:vertAlign w:val="superscript"/>
              </w:rPr>
              <w:t>(a)</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Share</w:t>
            </w:r>
            <w:r>
              <w:rPr>
                <w:rFonts w:ascii="Arial" w:cs="Arial" w:eastAsia="Arial" w:hAnsi="Arial"/>
                <w:sz w:val="16"/>
                <w:szCs w:val="16"/>
                <w:b w:val="1"/>
                <w:bCs w:val="1"/>
                <w:color w:val="auto"/>
                <w:vertAlign w:val="superscript"/>
              </w:rPr>
              <w:t>(a)</w:t>
            </w:r>
          </w:p>
        </w:tc>
      </w:tr>
      <w:tr>
        <w:trPr>
          <w:trHeight w:val="23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 (Loss) Attributable to Common Shareholders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0.38</w:t>
            </w:r>
          </w:p>
        </w:tc>
      </w:tr>
      <w:tr>
        <w:trPr>
          <w:trHeight w:val="205"/>
        </w:trPr>
        <w:tc>
          <w:tcPr>
            <w:tcW w:w="6320" w:type="dxa"/>
            <w:vAlign w:val="bottom"/>
          </w:tcPr>
          <w:p>
            <w:pPr>
              <w:ind w:left="20"/>
              <w:spacing w:after="0"/>
              <w:rPr>
                <w:sz w:val="20"/>
                <w:szCs w:val="20"/>
                <w:color w:val="auto"/>
              </w:rPr>
            </w:pPr>
            <w:r>
              <w:rPr>
                <w:rFonts w:ascii="Arial" w:cs="Arial" w:eastAsia="Arial" w:hAnsi="Arial"/>
                <w:sz w:val="16"/>
                <w:szCs w:val="16"/>
                <w:color w:val="auto"/>
              </w:rPr>
              <w:t>Unrealized (Gain) Loss on Fair Value Adjustments (net of taxes of $247 and $169,</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0"/>
        </w:trPr>
        <w:tc>
          <w:tcPr>
            <w:tcW w:w="6320" w:type="dxa"/>
            <w:vAlign w:val="bottom"/>
          </w:tcPr>
          <w:p>
            <w:pPr>
              <w:ind w:left="20"/>
              <w:spacing w:after="0" w:line="240" w:lineRule="exact"/>
              <w:rPr>
                <w:sz w:val="20"/>
                <w:szCs w:val="20"/>
                <w:color w:val="auto"/>
              </w:rPr>
            </w:pPr>
            <w:r>
              <w:rPr>
                <w:rFonts w:ascii="Arial" w:cs="Arial" w:eastAsia="Arial" w:hAnsi="Arial"/>
                <w:sz w:val="16"/>
                <w:szCs w:val="16"/>
                <w:color w:val="auto"/>
              </w:rPr>
              <w:t>respectively)</w:t>
            </w:r>
            <w:r>
              <w:rPr>
                <w:rFonts w:ascii="Arial" w:cs="Arial" w:eastAsia="Arial" w:hAnsi="Arial"/>
                <w:sz w:val="21"/>
                <w:szCs w:val="21"/>
                <w:color w:val="auto"/>
                <w:vertAlign w:val="superscript"/>
              </w:rPr>
              <w:t>(b)</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1.61</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Decommissioning-Related Activities (net of taxes of $79 and $31, respectively)</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0.06</w:t>
            </w:r>
          </w:p>
        </w:tc>
      </w:tr>
      <w:tr>
        <w:trPr>
          <w:trHeight w:val="205"/>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Acquired Commodity Contracts (net of taxes of $53 and $—,</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0"/>
        </w:trPr>
        <w:tc>
          <w:tcPr>
            <w:tcW w:w="6320" w:type="dxa"/>
            <w:vAlign w:val="bottom"/>
          </w:tcPr>
          <w:p>
            <w:pPr>
              <w:ind w:left="20"/>
              <w:spacing w:after="0" w:line="240" w:lineRule="exact"/>
              <w:rPr>
                <w:sz w:val="20"/>
                <w:szCs w:val="20"/>
                <w:color w:val="auto"/>
              </w:rPr>
            </w:pPr>
            <w:r>
              <w:rPr>
                <w:rFonts w:ascii="Arial" w:cs="Arial" w:eastAsia="Arial" w:hAnsi="Arial"/>
                <w:sz w:val="16"/>
                <w:szCs w:val="16"/>
                <w:color w:val="auto"/>
              </w:rPr>
              <w:t>respectively)</w:t>
            </w:r>
            <w:r>
              <w:rPr>
                <w:rFonts w:ascii="Arial" w:cs="Arial" w:eastAsia="Arial" w:hAnsi="Arial"/>
                <w:sz w:val="21"/>
                <w:szCs w:val="21"/>
                <w:color w:val="auto"/>
                <w:vertAlign w:val="superscript"/>
              </w:rPr>
              <w:t>(d)</w:t>
            </w:r>
          </w:p>
        </w:tc>
        <w:tc>
          <w:tcPr>
            <w:tcW w:w="38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Calpine Merger and Integration Costs (net of taxes of $22 and $4, respectively)</w:t>
            </w:r>
            <w:r>
              <w:rPr>
                <w:rFonts w:ascii="Arial" w:cs="Arial" w:eastAsia="Arial" w:hAnsi="Arial"/>
                <w:sz w:val="21"/>
                <w:szCs w:val="21"/>
                <w:color w:val="auto"/>
                <w:vertAlign w:val="superscript"/>
              </w:rPr>
              <w:t>(e)</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0.34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0.04</w:t>
            </w:r>
          </w:p>
        </w:tc>
      </w:tr>
      <w:tr>
        <w:trPr>
          <w:trHeight w:val="235"/>
        </w:trPr>
        <w:tc>
          <w:tcPr>
            <w:tcW w:w="6320" w:type="dxa"/>
            <w:vAlign w:val="bottom"/>
          </w:tcPr>
          <w:p>
            <w:pPr>
              <w:ind w:left="20"/>
              <w:spacing w:after="0"/>
              <w:rPr>
                <w:sz w:val="20"/>
                <w:szCs w:val="20"/>
                <w:color w:val="auto"/>
              </w:rPr>
            </w:pPr>
            <w:r>
              <w:rPr>
                <w:rFonts w:ascii="Arial" w:cs="Arial" w:eastAsia="Arial" w:hAnsi="Arial"/>
                <w:sz w:val="16"/>
                <w:szCs w:val="16"/>
                <w:color w:val="auto"/>
              </w:rPr>
              <w:t>Plant Retirements and Divestitures (net of taxes of $— and $4, respectively)</w:t>
            </w:r>
          </w:p>
        </w:tc>
        <w:tc>
          <w:tcPr>
            <w:tcW w:w="3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0.03</w:t>
            </w:r>
          </w:p>
        </w:tc>
      </w:tr>
      <w:tr>
        <w:trPr>
          <w:trHeight w:val="251"/>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&amp; OPEB Non-Service (Credits) Costs (net of taxes of $7 and $3, respectively)</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0.03</w:t>
            </w:r>
          </w:p>
        </w:tc>
      </w:tr>
      <w:tr>
        <w:trPr>
          <w:trHeight w:val="235"/>
        </w:trPr>
        <w:tc>
          <w:tcPr>
            <w:tcW w:w="6320" w:type="dxa"/>
            <w:vAlign w:val="bottom"/>
          </w:tcPr>
          <w:p>
            <w:pPr>
              <w:ind w:left="20"/>
              <w:spacing w:after="0"/>
              <w:rPr>
                <w:sz w:val="20"/>
                <w:szCs w:val="20"/>
                <w:color w:val="auto"/>
              </w:rPr>
            </w:pPr>
            <w:r>
              <w:rPr>
                <w:rFonts w:ascii="Arial" w:cs="Arial" w:eastAsia="Arial" w:hAnsi="Arial"/>
                <w:sz w:val="16"/>
                <w:szCs w:val="16"/>
                <w:color w:val="auto"/>
              </w:rPr>
              <w:t>Income Tax-Related Adjustments</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51"/>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r>
              <w:rPr>
                <w:rFonts w:ascii="Arial" w:cs="Arial" w:eastAsia="Arial" w:hAnsi="Arial"/>
                <w:sz w:val="21"/>
                <w:szCs w:val="21"/>
                <w:color w:val="auto"/>
                <w:vertAlign w:val="superscript"/>
              </w:rPr>
              <w:t>(f)</w:t>
            </w: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36"/>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Adjusted (non-GAAP) Operating Earnings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673</w:t>
            </w:r>
          </w:p>
        </w:tc>
        <w:tc>
          <w:tcPr>
            <w:tcW w:w="3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2.14</w:t>
            </w:r>
          </w:p>
        </w:tc>
      </w:tr>
      <w:tr>
        <w:trPr>
          <w:trHeight w:val="21"/>
        </w:trPr>
        <w:tc>
          <w:tcPr>
            <w:tcW w:w="6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hanging="332"/>
        <w:spacing w:after="0" w:line="252"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may not sum due to rounding. Earnings per share amount is based on average diluted common shares outstanding of 354 million and 314 million for the three months ended March 31, 2026 and 2025, respectively.</w:t>
      </w: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unrealized gains and losses on economic hedges, interest rate swaps, and fair value adjustments related to gas imbalances and equity investments.</w:t>
      </w:r>
    </w:p>
    <w:p>
      <w:pPr>
        <w:spacing w:after="0" w:line="14" w:lineRule="exact"/>
        <w:rPr>
          <w:rFonts w:ascii="Arial" w:cs="Arial" w:eastAsia="Arial" w:hAnsi="Arial"/>
          <w:sz w:val="14"/>
          <w:szCs w:val="14"/>
          <w:color w:val="auto"/>
        </w:rPr>
      </w:pPr>
    </w:p>
    <w:p>
      <w:pPr>
        <w:jc w:val="both"/>
        <w:ind w:left="340" w:hanging="332"/>
        <w:spacing w:after="0" w:line="261"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Reflects all gains and losses associated with NDTs, ARO accretion, ARC depreciation, ARO remeasurement, and impacts of contractual offset for Regulatory Agreement Units. The tax effects of Regulatory Agreement Units result in a 100% effective tax rate under contractual offset accounting. Additionally, the tax effects of NDT investment returns result in different effective tax rates depending on whether the underlying funds are held within qualified or non-qualified trusts.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2026, reflects the non-cash impacts of the amortization of certain commodity contracts recorded at fair value associated with the Calpine acquisition.</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Reflects costs associated with the completion of the Calpine merger and subsequent integration of its operations. Certain of these transaction-related expenses are not tax deductible.</w:t>
      </w: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elimination of the noncontrolling interest portion of certain adjustments included above.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6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
        </w:trPr>
        <w:tc>
          <w:tcPr>
            <w:tcW w:w="6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 Change</w:t>
            </w:r>
          </w:p>
        </w:tc>
      </w:tr>
      <w:tr>
        <w:trPr>
          <w:trHeight w:val="24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revenues</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11,122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6,788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w:t>
            </w:r>
          </w:p>
        </w:tc>
      </w:tr>
      <w:tr>
        <w:trPr>
          <w:trHeight w:val="239"/>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Purchased power and fuel</w:t>
            </w:r>
          </w:p>
        </w:tc>
        <w:tc>
          <w:tcPr>
            <w:tcW w:w="8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6,352</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4,384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r>
      <w:tr>
        <w:trPr>
          <w:trHeight w:val="235"/>
        </w:trPr>
        <w:tc>
          <w:tcPr>
            <w:tcW w:w="6860" w:type="dxa"/>
            <w:vAlign w:val="bottom"/>
          </w:tcPr>
          <w:p>
            <w:pPr>
              <w:ind w:left="360"/>
              <w:spacing w:after="0"/>
              <w:rPr>
                <w:sz w:val="20"/>
                <w:szCs w:val="20"/>
                <w:color w:val="auto"/>
              </w:rPr>
            </w:pPr>
            <w:r>
              <w:rPr>
                <w:rFonts w:ascii="Arial" w:cs="Arial" w:eastAsia="Arial" w:hAnsi="Arial"/>
                <w:sz w:val="16"/>
                <w:szCs w:val="16"/>
                <w:color w:val="auto"/>
              </w:rPr>
              <w:t>Operating and maintenance</w:t>
            </w:r>
          </w:p>
        </w:tc>
        <w:tc>
          <w:tcPr>
            <w:tcW w:w="8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51"/>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8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37"/>
        </w:trPr>
        <w:tc>
          <w:tcPr>
            <w:tcW w:w="6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Taxes other than income taxes</w:t>
            </w: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43"/>
        </w:trPr>
        <w:tc>
          <w:tcPr>
            <w:tcW w:w="6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8,804</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6,337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r>
      <w:tr>
        <w:trPr>
          <w:trHeight w:val="230"/>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Gain (loss) on sales of assets</w:t>
            </w:r>
          </w:p>
        </w:tc>
        <w:tc>
          <w:tcPr>
            <w:tcW w:w="8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1,881</w:t>
            </w:r>
          </w:p>
        </w:tc>
      </w:tr>
      <w:tr>
        <w:trPr>
          <w:trHeight w:val="219"/>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Other income and (deductions)</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7"/>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 net</w:t>
            </w:r>
          </w:p>
        </w:tc>
        <w:tc>
          <w:tcPr>
            <w:tcW w:w="8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37"/>
        </w:trPr>
        <w:tc>
          <w:tcPr>
            <w:tcW w:w="6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net</w:t>
            </w: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43"/>
        </w:trPr>
        <w:tc>
          <w:tcPr>
            <w:tcW w:w="6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income and (deductions)</w:t>
            </w:r>
          </w:p>
        </w:tc>
        <w:tc>
          <w:tcPr>
            <w:tcW w:w="8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29"/>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2,125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1,974</w:t>
            </w:r>
          </w:p>
        </w:tc>
      </w:tr>
      <w:tr>
        <w:trPr>
          <w:trHeight w:val="251"/>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tax (benefit) expense</w:t>
            </w:r>
          </w:p>
        </w:tc>
        <w:tc>
          <w:tcPr>
            <w:tcW w:w="8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r>
      <w:tr>
        <w:trPr>
          <w:trHeight w:val="239"/>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Equity in income (losses) of unconsolidated affiliates</w:t>
            </w:r>
          </w:p>
        </w:tc>
        <w:tc>
          <w:tcPr>
            <w:tcW w:w="8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82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w:t>
            </w:r>
          </w:p>
        </w:tc>
      </w:tr>
      <w:tr>
        <w:trPr>
          <w:trHeight w:val="23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5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shareholders</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 xml:space="preserve">Three Months Ended March 31, 2026 Compared to Three Months Ended March 31, 2025. </w:t>
      </w:r>
      <w:r>
        <w:rPr>
          <w:rFonts w:ascii="Arial" w:cs="Arial" w:eastAsia="Arial" w:hAnsi="Arial"/>
          <w:sz w:val="16"/>
          <w:szCs w:val="16"/>
          <w:color w:val="auto"/>
        </w:rPr>
        <w:t>The variance in Net income (loss) attributable to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was favorable by $1,472 million primarily due to:</w:t>
      </w:r>
    </w:p>
    <w:p>
      <w:pPr>
        <w:spacing w:after="0" w:line="102" w:lineRule="exact"/>
        <w:rPr>
          <w:sz w:val="20"/>
          <w:szCs w:val="20"/>
          <w:color w:val="auto"/>
        </w:rPr>
      </w:pPr>
    </w:p>
    <w:p>
      <w:pPr>
        <w:ind w:left="980" w:hanging="324"/>
        <w:spacing w:after="0" w:line="304" w:lineRule="auto"/>
        <w:tabs>
          <w:tab w:leader="none" w:pos="9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Addition of Calpine operations acquired in January 2026, inclusive of the impacts of purchase accounting. See Note 2 — Mergers, Acquisitions, and Dispositions of the Combined Notes to Consolidated Financial Statements for additional information;</w:t>
      </w:r>
    </w:p>
    <w:p>
      <w:pPr>
        <w:spacing w:after="0" w:line="87" w:lineRule="exact"/>
        <w:rPr>
          <w:rFonts w:ascii="Arial" w:cs="Arial" w:eastAsia="Arial" w:hAnsi="Arial"/>
          <w:sz w:val="16"/>
          <w:szCs w:val="16"/>
          <w:color w:val="auto"/>
        </w:rPr>
      </w:pPr>
    </w:p>
    <w:p>
      <w:pPr>
        <w:ind w:left="960" w:hanging="304"/>
        <w:spacing w:after="0"/>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Favorable net unrealized gains on economic hedges;</w:t>
      </w:r>
    </w:p>
    <w:p>
      <w:pPr>
        <w:spacing w:after="0" w:line="180" w:lineRule="exact"/>
        <w:rPr>
          <w:rFonts w:ascii="Arial" w:cs="Arial" w:eastAsia="Arial" w:hAnsi="Arial"/>
          <w:sz w:val="16"/>
          <w:szCs w:val="16"/>
          <w:color w:val="auto"/>
        </w:rPr>
      </w:pPr>
    </w:p>
    <w:p>
      <w:pPr>
        <w:ind w:left="980" w:right="20" w:hanging="324"/>
        <w:spacing w:after="0" w:line="286" w:lineRule="auto"/>
        <w:tabs>
          <w:tab w:leader="none" w:pos="9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Favorable decommissioning-related activities primarily driven by the Q1 2026 nuclear ARO update. See Note 9 — Asset Retirement Obligations of the Combined Notes to Consolidated Financial Statements for additional information;</w:t>
      </w:r>
    </w:p>
    <w:p>
      <w:pPr>
        <w:spacing w:after="0" w:line="101" w:lineRule="exact"/>
        <w:rPr>
          <w:rFonts w:ascii="Arial" w:cs="Arial" w:eastAsia="Arial" w:hAnsi="Arial"/>
          <w:sz w:val="16"/>
          <w:szCs w:val="16"/>
          <w:color w:val="auto"/>
        </w:rPr>
      </w:pPr>
    </w:p>
    <w:p>
      <w:pPr>
        <w:ind w:left="960" w:hanging="304"/>
        <w:spacing w:after="0"/>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Lower net unrealized loss on equity investments; and</w:t>
      </w:r>
    </w:p>
    <w:p>
      <w:pPr>
        <w:spacing w:after="0" w:line="180" w:lineRule="exact"/>
        <w:rPr>
          <w:rFonts w:ascii="Arial" w:cs="Arial" w:eastAsia="Arial" w:hAnsi="Arial"/>
          <w:sz w:val="16"/>
          <w:szCs w:val="16"/>
          <w:color w:val="auto"/>
        </w:rPr>
      </w:pPr>
    </w:p>
    <w:p>
      <w:pPr>
        <w:ind w:left="980" w:right="20" w:hanging="324"/>
        <w:spacing w:after="0" w:line="286" w:lineRule="auto"/>
        <w:tabs>
          <w:tab w:leader="none" w:pos="9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Favorable net market and portfolio conditions primarily driven by higher capacity revenues partially offset by higher costs related to a significant weather event in the first quarter of 2026 and lower CMC program revenue.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favorable items were partially offset by:</w:t>
      </w:r>
    </w:p>
    <w:p>
      <w:pPr>
        <w:spacing w:after="0" w:line="167" w:lineRule="exact"/>
        <w:rPr>
          <w:sz w:val="20"/>
          <w:szCs w:val="20"/>
          <w:color w:val="auto"/>
        </w:rPr>
      </w:pPr>
    </w:p>
    <w:p>
      <w:pPr>
        <w:ind w:left="960" w:hanging="304"/>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Unfavorable impacts from nuclear outages.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Operating revenues. </w:t>
      </w:r>
      <w:r>
        <w:rPr>
          <w:rFonts w:ascii="Arial" w:cs="Arial" w:eastAsia="Arial" w:hAnsi="Arial"/>
          <w:sz w:val="16"/>
          <w:szCs w:val="16"/>
          <w:color w:val="auto"/>
        </w:rPr>
        <w:t>Our six reportable segments are Mid-Atlantic, Midwest, New York, ERCOT, Other Power Regions, and Calpine. See Note 5</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7"/>
          <w:szCs w:val="17"/>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Information of the Combined Notes to Consolidated Financial Statements for additional information on these reportable segments.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With the exception of Calpine's natural gas sales, which are included in the Calpine segment, wholesale and retail sales of natural gas, as well as sales of other energy -related products and sustainable solutions and other miscellaneous business activities that are not significant to overall results of operations are reported under Other and not allocated to a segment.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2026 compared to 2025, Operating revenues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1380" w:type="dxa"/>
            <w:vAlign w:val="bottom"/>
            <w:vMerge w:val="restart"/>
          </w:tcPr>
          <w:p>
            <w:pPr>
              <w:jc w:val="right"/>
              <w:ind w:right="301"/>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4"/>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62"/>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1,847</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1,665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42"/>
        </w:trPr>
        <w:tc>
          <w:tcPr>
            <w:tcW w:w="5520" w:type="dxa"/>
            <w:vAlign w:val="bottom"/>
          </w:tcPr>
          <w:p>
            <w:pPr>
              <w:ind w:left="20"/>
              <w:spacing w:after="0"/>
              <w:rPr>
                <w:sz w:val="20"/>
                <w:szCs w:val="20"/>
                <w:color w:val="auto"/>
              </w:rPr>
            </w:pPr>
            <w:r>
              <w:rPr>
                <w:rFonts w:ascii="Arial" w:cs="Arial" w:eastAsia="Arial" w:hAnsi="Arial"/>
                <w:sz w:val="16"/>
                <w:szCs w:val="16"/>
                <w:color w:val="auto"/>
              </w:rPr>
              <w:t>Midwest</w:t>
            </w:r>
          </w:p>
        </w:tc>
        <w:tc>
          <w:tcPr>
            <w:tcW w:w="30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1,732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1,404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23.4 %</w:t>
            </w:r>
          </w:p>
        </w:tc>
        <w:tc>
          <w:tcPr>
            <w:tcW w:w="0" w:type="dxa"/>
            <w:vAlign w:val="bottom"/>
          </w:tcPr>
          <w:p>
            <w:pPr>
              <w:spacing w:after="0"/>
              <w:rPr>
                <w:sz w:val="1"/>
                <w:szCs w:val="1"/>
                <w:color w:val="auto"/>
              </w:rPr>
            </w:pPr>
          </w:p>
        </w:tc>
      </w:tr>
      <w:tr>
        <w:trPr>
          <w:trHeight w:val="244"/>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42"/>
        </w:trPr>
        <w:tc>
          <w:tcPr>
            <w:tcW w:w="5520" w:type="dxa"/>
            <w:vAlign w:val="bottom"/>
          </w:tcPr>
          <w:p>
            <w:pPr>
              <w:ind w:left="20"/>
              <w:spacing w:after="0"/>
              <w:rPr>
                <w:sz w:val="20"/>
                <w:szCs w:val="20"/>
                <w:color w:val="auto"/>
              </w:rPr>
            </w:pPr>
            <w:r>
              <w:rPr>
                <w:rFonts w:ascii="Arial" w:cs="Arial" w:eastAsia="Arial" w:hAnsi="Arial"/>
                <w:sz w:val="16"/>
                <w:szCs w:val="16"/>
                <w:color w:val="auto"/>
              </w:rPr>
              <w:t>ERCOT</w:t>
            </w:r>
          </w:p>
        </w:tc>
        <w:tc>
          <w:tcPr>
            <w:tcW w:w="30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44"/>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1,487</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1,556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42"/>
        </w:trPr>
        <w:tc>
          <w:tcPr>
            <w:tcW w:w="5520" w:type="dxa"/>
            <w:vAlign w:val="bottom"/>
          </w:tcPr>
          <w:p>
            <w:pPr>
              <w:ind w:left="20"/>
              <w:spacing w:after="0"/>
              <w:rPr>
                <w:sz w:val="20"/>
                <w:szCs w:val="20"/>
                <w:color w:val="auto"/>
              </w:rPr>
            </w:pPr>
            <w:r>
              <w:rPr>
                <w:rFonts w:ascii="Arial" w:cs="Arial" w:eastAsia="Arial" w:hAnsi="Arial"/>
                <w:sz w:val="16"/>
                <w:szCs w:val="16"/>
                <w:color w:val="auto"/>
              </w:rPr>
              <w:t>Calpine</w:t>
            </w:r>
          </w:p>
        </w:tc>
        <w:tc>
          <w:tcPr>
            <w:tcW w:w="30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2,395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2,395</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8"/>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reportable segment revenues</w:t>
            </w:r>
          </w:p>
        </w:tc>
        <w:tc>
          <w:tcPr>
            <w:tcW w:w="3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8,400</w:t>
            </w: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5,585</w:t>
            </w: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2,815</w:t>
            </w:r>
          </w:p>
        </w:tc>
        <w:tc>
          <w:tcPr>
            <w:tcW w:w="12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50.4 %</w:t>
            </w:r>
          </w:p>
        </w:tc>
        <w:tc>
          <w:tcPr>
            <w:tcW w:w="0" w:type="dxa"/>
            <w:vAlign w:val="bottom"/>
          </w:tcPr>
          <w:p>
            <w:pPr>
              <w:spacing w:after="0"/>
              <w:rPr>
                <w:sz w:val="1"/>
                <w:szCs w:val="1"/>
                <w:color w:val="auto"/>
              </w:rPr>
            </w:pPr>
          </w:p>
        </w:tc>
      </w:tr>
      <w:tr>
        <w:trPr>
          <w:trHeight w:val="235"/>
        </w:trPr>
        <w:tc>
          <w:tcPr>
            <w:tcW w:w="55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1,490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5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gains (losses)</w:t>
            </w:r>
            <w:r>
              <w:rPr>
                <w:rFonts w:ascii="Arial" w:cs="Arial" w:eastAsia="Arial" w:hAnsi="Arial"/>
                <w:sz w:val="21"/>
                <w:szCs w:val="21"/>
                <w:color w:val="auto"/>
                <w:vertAlign w:val="superscript"/>
              </w:rPr>
              <w:t>(a)</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1,315</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1,602</w:t>
            </w:r>
          </w:p>
        </w:tc>
        <w:tc>
          <w:tcPr>
            <w:tcW w:w="12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6"/>
                <w:szCs w:val="16"/>
                <w:color w:val="auto"/>
              </w:rPr>
              <w:t>Total Operating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11,122</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70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6,788</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4,334</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 Change in unrealized gains (losses) is not a meaningful measure.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Sales and Supply Sources. </w:t>
      </w:r>
      <w:r>
        <w:rPr>
          <w:rFonts w:ascii="Arial" w:cs="Arial" w:eastAsia="Arial" w:hAnsi="Arial"/>
          <w:sz w:val="16"/>
          <w:szCs w:val="16"/>
          <w:color w:val="auto"/>
        </w:rPr>
        <w:t>Our sales and supply volumes (GWhs) by segment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40" w:type="dxa"/>
            <w:vAlign w:val="bottom"/>
          </w:tcPr>
          <w:p>
            <w:pPr>
              <w:spacing w:after="0"/>
              <w:rPr>
                <w:sz w:val="14"/>
                <w:szCs w:val="14"/>
                <w:color w:val="auto"/>
              </w:rPr>
            </w:pPr>
          </w:p>
        </w:tc>
        <w:tc>
          <w:tcPr>
            <w:tcW w:w="2960" w:type="dxa"/>
            <w:vAlign w:val="bottom"/>
            <w:gridSpan w:val="4"/>
          </w:tcPr>
          <w:p>
            <w:pPr>
              <w:ind w:left="480"/>
              <w:spacing w:after="0"/>
              <w:rPr>
                <w:sz w:val="20"/>
                <w:szCs w:val="20"/>
                <w:color w:val="auto"/>
              </w:rPr>
            </w:pPr>
            <w:r>
              <w:rPr>
                <w:rFonts w:ascii="Arial" w:cs="Arial" w:eastAsia="Arial" w:hAnsi="Arial"/>
                <w:sz w:val="13"/>
                <w:szCs w:val="13"/>
                <w:b w:val="1"/>
                <w:bCs w:val="1"/>
                <w:color w:val="auto"/>
              </w:rPr>
              <w:t>Three Months Ended March 31,</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(GWhs)</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Change</w:t>
            </w:r>
          </w:p>
        </w:tc>
        <w:tc>
          <w:tcPr>
            <w:tcW w:w="1380" w:type="dxa"/>
            <w:vAlign w:val="bottom"/>
            <w:vMerge w:val="restart"/>
          </w:tcPr>
          <w:p>
            <w:pPr>
              <w:jc w:val="right"/>
              <w:ind w:right="30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4"/>
        </w:trPr>
        <w:tc>
          <w:tcPr>
            <w:tcW w:w="5540" w:type="dxa"/>
            <w:vAlign w:val="bottom"/>
            <w:vMerge w:val="continue"/>
          </w:tcPr>
          <w:p>
            <w:pPr>
              <w:spacing w:after="0"/>
              <w:rPr>
                <w:sz w:val="15"/>
                <w:szCs w:val="15"/>
                <w:color w:val="auto"/>
              </w:rPr>
            </w:pPr>
          </w:p>
        </w:tc>
        <w:tc>
          <w:tcPr>
            <w:tcW w:w="1360" w:type="dxa"/>
            <w:vAlign w:val="bottom"/>
          </w:tcPr>
          <w:p>
            <w:pPr>
              <w:jc w:val="right"/>
              <w:ind w:right="460"/>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1360" w:type="dxa"/>
            <w:vAlign w:val="bottom"/>
          </w:tcPr>
          <w:p>
            <w:pPr>
              <w:jc w:val="right"/>
              <w:ind w:right="46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5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ind w:left="20"/>
              <w:spacing w:after="0" w:line="196" w:lineRule="exact"/>
              <w:rPr>
                <w:sz w:val="20"/>
                <w:szCs w:val="20"/>
                <w:color w:val="auto"/>
              </w:rPr>
            </w:pPr>
            <w:r>
              <w:rPr>
                <w:rFonts w:ascii="Arial" w:cs="Arial" w:eastAsia="Arial" w:hAnsi="Arial"/>
                <w:sz w:val="16"/>
                <w:szCs w:val="16"/>
                <w:b w:val="1"/>
                <w:bCs w:val="1"/>
                <w:color w:val="auto"/>
              </w:rPr>
              <w:t>Nuclear Generation</w:t>
            </w:r>
            <w:r>
              <w:rPr>
                <w:rFonts w:ascii="Arial" w:cs="Arial" w:eastAsia="Arial" w:hAnsi="Arial"/>
                <w:sz w:val="21"/>
                <w:szCs w:val="21"/>
                <w:b w:val="1"/>
                <w:bCs w:val="1"/>
                <w:color w:val="auto"/>
                <w:vertAlign w:val="superscript"/>
              </w:rPr>
              <w:t>(a)</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540" w:type="dxa"/>
            <w:vAlign w:val="bottom"/>
          </w:tcPr>
          <w:p>
            <w:pPr>
              <w:ind w:left="360"/>
              <w:spacing w:after="0"/>
              <w:rPr>
                <w:sz w:val="20"/>
                <w:szCs w:val="20"/>
                <w:color w:val="auto"/>
              </w:rPr>
            </w:pPr>
            <w:r>
              <w:rPr>
                <w:rFonts w:ascii="Arial" w:cs="Arial" w:eastAsia="Arial" w:hAnsi="Arial"/>
                <w:sz w:val="16"/>
                <w:szCs w:val="16"/>
                <w:color w:val="auto"/>
              </w:rPr>
              <w:t>Mid-Atlantic</w:t>
            </w:r>
          </w:p>
        </w:tc>
        <w:tc>
          <w:tcPr>
            <w:tcW w:w="1360" w:type="dxa"/>
            <w:vAlign w:val="bottom"/>
          </w:tcPr>
          <w:p>
            <w:pPr>
              <w:jc w:val="right"/>
              <w:spacing w:after="0"/>
              <w:rPr>
                <w:sz w:val="20"/>
                <w:szCs w:val="20"/>
                <w:color w:val="auto"/>
              </w:rPr>
            </w:pPr>
            <w:r>
              <w:rPr>
                <w:rFonts w:ascii="Arial" w:cs="Arial" w:eastAsia="Arial" w:hAnsi="Arial"/>
                <w:sz w:val="16"/>
                <w:szCs w:val="16"/>
                <w:color w:val="auto"/>
              </w:rPr>
              <w:t>13,326</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13,177</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51"/>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Midwest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22,974</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23,596</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5"/>
        </w:trPr>
        <w:tc>
          <w:tcPr>
            <w:tcW w:w="5540" w:type="dxa"/>
            <w:vAlign w:val="bottom"/>
          </w:tcPr>
          <w:p>
            <w:pPr>
              <w:ind w:left="360"/>
              <w:spacing w:after="0"/>
              <w:rPr>
                <w:sz w:val="20"/>
                <w:szCs w:val="20"/>
                <w:color w:val="auto"/>
              </w:rPr>
            </w:pPr>
            <w:r>
              <w:rPr>
                <w:rFonts w:ascii="Arial" w:cs="Arial" w:eastAsia="Arial" w:hAnsi="Arial"/>
                <w:sz w:val="16"/>
                <w:szCs w:val="16"/>
                <w:color w:val="auto"/>
              </w:rPr>
              <w:t>New York</w:t>
            </w:r>
          </w:p>
        </w:tc>
        <w:tc>
          <w:tcPr>
            <w:tcW w:w="1360" w:type="dxa"/>
            <w:vAlign w:val="bottom"/>
          </w:tcPr>
          <w:p>
            <w:pPr>
              <w:jc w:val="right"/>
              <w:spacing w:after="0"/>
              <w:rPr>
                <w:sz w:val="20"/>
                <w:szCs w:val="20"/>
                <w:color w:val="auto"/>
              </w:rPr>
            </w:pPr>
            <w:r>
              <w:rPr>
                <w:rFonts w:ascii="Arial" w:cs="Arial" w:eastAsia="Arial" w:hAnsi="Arial"/>
                <w:sz w:val="16"/>
                <w:szCs w:val="16"/>
                <w:color w:val="auto"/>
              </w:rPr>
              <w:t>6,014</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6,280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51"/>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ERCOT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12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2,529</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6"/>
                <w:szCs w:val="16"/>
                <w:b w:val="1"/>
                <w:bCs w:val="1"/>
                <w:color w:val="auto"/>
              </w:rPr>
              <w:t>Total Nuclear Generation</w:t>
            </w:r>
          </w:p>
        </w:tc>
        <w:tc>
          <w:tcPr>
            <w:tcW w:w="1360" w:type="dxa"/>
            <w:vAlign w:val="bottom"/>
          </w:tcPr>
          <w:p>
            <w:pPr>
              <w:jc w:val="right"/>
              <w:spacing w:after="0"/>
              <w:rPr>
                <w:sz w:val="20"/>
                <w:szCs w:val="20"/>
                <w:color w:val="auto"/>
              </w:rPr>
            </w:pPr>
            <w:r>
              <w:rPr>
                <w:rFonts w:ascii="Arial" w:cs="Arial" w:eastAsia="Arial" w:hAnsi="Arial"/>
                <w:sz w:val="16"/>
                <w:szCs w:val="16"/>
                <w:color w:val="auto"/>
              </w:rPr>
              <w:t>44,666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45,582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8"/>
        </w:trPr>
        <w:tc>
          <w:tcPr>
            <w:tcW w:w="5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Natural Gas, Oil, and Renewables</w:t>
            </w:r>
            <w:r>
              <w:rPr>
                <w:rFonts w:ascii="Arial" w:cs="Arial" w:eastAsia="Arial" w:hAnsi="Arial"/>
                <w:sz w:val="21"/>
                <w:szCs w:val="21"/>
                <w:b w:val="1"/>
                <w:bCs w:val="1"/>
                <w:color w:val="auto"/>
                <w:vertAlign w:val="superscript"/>
              </w:rPr>
              <w:t>(a)</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Mid-Atlantic</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r>
        <w:trPr>
          <w:trHeight w:val="235"/>
        </w:trPr>
        <w:tc>
          <w:tcPr>
            <w:tcW w:w="5540" w:type="dxa"/>
            <w:vAlign w:val="bottom"/>
          </w:tcPr>
          <w:p>
            <w:pPr>
              <w:ind w:left="360"/>
              <w:spacing w:after="0"/>
              <w:rPr>
                <w:sz w:val="20"/>
                <w:szCs w:val="20"/>
                <w:color w:val="auto"/>
              </w:rPr>
            </w:pPr>
            <w:r>
              <w:rPr>
                <w:rFonts w:ascii="Arial" w:cs="Arial" w:eastAsia="Arial" w:hAnsi="Arial"/>
                <w:sz w:val="16"/>
                <w:szCs w:val="16"/>
                <w:color w:val="auto"/>
              </w:rPr>
              <w:t>Midwest</w:t>
            </w:r>
          </w:p>
        </w:tc>
        <w:tc>
          <w:tcPr>
            <w:tcW w:w="136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51"/>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ERCOT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5"/>
        </w:trPr>
        <w:tc>
          <w:tcPr>
            <w:tcW w:w="5540" w:type="dxa"/>
            <w:vAlign w:val="bottom"/>
          </w:tcPr>
          <w:p>
            <w:pPr>
              <w:ind w:left="360"/>
              <w:spacing w:after="0"/>
              <w:rPr>
                <w:sz w:val="20"/>
                <w:szCs w:val="20"/>
                <w:color w:val="auto"/>
              </w:rPr>
            </w:pPr>
            <w:r>
              <w:rPr>
                <w:rFonts w:ascii="Arial" w:cs="Arial" w:eastAsia="Arial" w:hAnsi="Arial"/>
                <w:sz w:val="16"/>
                <w:szCs w:val="16"/>
                <w:color w:val="auto"/>
              </w:rPr>
              <w:t>Other Power Regions</w:t>
            </w:r>
          </w:p>
        </w:tc>
        <w:tc>
          <w:tcPr>
            <w:tcW w:w="1360" w:type="dxa"/>
            <w:vAlign w:val="bottom"/>
          </w:tcPr>
          <w:p>
            <w:pPr>
              <w:jc w:val="right"/>
              <w:spacing w:after="0"/>
              <w:rPr>
                <w:sz w:val="20"/>
                <w:szCs w:val="20"/>
                <w:color w:val="auto"/>
              </w:rPr>
            </w:pPr>
            <w:r>
              <w:rPr>
                <w:rFonts w:ascii="Arial" w:cs="Arial" w:eastAsia="Arial" w:hAnsi="Arial"/>
                <w:sz w:val="16"/>
                <w:szCs w:val="16"/>
                <w:color w:val="auto"/>
              </w:rPr>
              <w:t>1,742</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1,804</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51"/>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Calpine</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26,497</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26,497</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6"/>
                <w:szCs w:val="16"/>
                <w:b w:val="1"/>
                <w:bCs w:val="1"/>
                <w:color w:val="auto"/>
              </w:rPr>
              <w:t>Total Natural Gas, Oil, and Renewables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32,061</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5,905</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26,156</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442.9 %</w:t>
            </w:r>
          </w:p>
        </w:tc>
        <w:tc>
          <w:tcPr>
            <w:tcW w:w="0" w:type="dxa"/>
            <w:vAlign w:val="bottom"/>
          </w:tcPr>
          <w:p>
            <w:pPr>
              <w:spacing w:after="0"/>
              <w:rPr>
                <w:sz w:val="1"/>
                <w:szCs w:val="1"/>
                <w:color w:val="auto"/>
              </w:rPr>
            </w:pPr>
          </w:p>
        </w:tc>
      </w:tr>
      <w:tr>
        <w:trPr>
          <w:trHeight w:val="278"/>
        </w:trPr>
        <w:tc>
          <w:tcPr>
            <w:tcW w:w="5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Purchased Power</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Mid-Atlantic</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4,094</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4,794</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35"/>
        </w:trPr>
        <w:tc>
          <w:tcPr>
            <w:tcW w:w="5540" w:type="dxa"/>
            <w:vAlign w:val="bottom"/>
          </w:tcPr>
          <w:p>
            <w:pPr>
              <w:ind w:left="360"/>
              <w:spacing w:after="0"/>
              <w:rPr>
                <w:sz w:val="20"/>
                <w:szCs w:val="20"/>
                <w:color w:val="auto"/>
              </w:rPr>
            </w:pPr>
            <w:r>
              <w:rPr>
                <w:rFonts w:ascii="Arial" w:cs="Arial" w:eastAsia="Arial" w:hAnsi="Arial"/>
                <w:sz w:val="16"/>
                <w:szCs w:val="16"/>
                <w:color w:val="auto"/>
              </w:rPr>
              <w:t>Midwest</w:t>
            </w:r>
          </w:p>
        </w:tc>
        <w:tc>
          <w:tcPr>
            <w:tcW w:w="1360" w:type="dxa"/>
            <w:vAlign w:val="bottom"/>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51"/>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ERCOT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35"/>
        </w:trPr>
        <w:tc>
          <w:tcPr>
            <w:tcW w:w="5540" w:type="dxa"/>
            <w:vAlign w:val="bottom"/>
          </w:tcPr>
          <w:p>
            <w:pPr>
              <w:ind w:left="360"/>
              <w:spacing w:after="0"/>
              <w:rPr>
                <w:sz w:val="20"/>
                <w:szCs w:val="20"/>
                <w:color w:val="auto"/>
              </w:rPr>
            </w:pPr>
            <w:r>
              <w:rPr>
                <w:rFonts w:ascii="Arial" w:cs="Arial" w:eastAsia="Arial" w:hAnsi="Arial"/>
                <w:sz w:val="16"/>
                <w:szCs w:val="16"/>
                <w:color w:val="auto"/>
              </w:rPr>
              <w:t>Other Power Regions</w:t>
            </w:r>
          </w:p>
        </w:tc>
        <w:tc>
          <w:tcPr>
            <w:tcW w:w="1360" w:type="dxa"/>
            <w:vAlign w:val="bottom"/>
          </w:tcPr>
          <w:p>
            <w:pPr>
              <w:jc w:val="right"/>
              <w:spacing w:after="0"/>
              <w:rPr>
                <w:sz w:val="20"/>
                <w:szCs w:val="20"/>
                <w:color w:val="auto"/>
              </w:rPr>
            </w:pPr>
            <w:r>
              <w:rPr>
                <w:rFonts w:ascii="Arial" w:cs="Arial" w:eastAsia="Arial" w:hAnsi="Arial"/>
                <w:sz w:val="16"/>
                <w:szCs w:val="16"/>
                <w:color w:val="auto"/>
              </w:rPr>
              <w:t>9,317</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10,994</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(1,677)</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51"/>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Calpine</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6"/>
                <w:szCs w:val="16"/>
                <w:b w:val="1"/>
                <w:bCs w:val="1"/>
                <w:color w:val="auto"/>
              </w:rPr>
              <w:t>Total Purchased Power</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16,603</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16,935</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8"/>
        </w:trPr>
        <w:tc>
          <w:tcPr>
            <w:tcW w:w="55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Total Supply/Sales by Segment</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Mid-Atlantic</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18,603</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5"/>
        </w:trPr>
        <w:tc>
          <w:tcPr>
            <w:tcW w:w="5540" w:type="dxa"/>
            <w:vAlign w:val="bottom"/>
          </w:tcPr>
          <w:p>
            <w:pPr>
              <w:ind w:left="360"/>
              <w:spacing w:after="0"/>
              <w:rPr>
                <w:sz w:val="20"/>
                <w:szCs w:val="20"/>
                <w:color w:val="auto"/>
              </w:rPr>
            </w:pPr>
            <w:r>
              <w:rPr>
                <w:rFonts w:ascii="Arial" w:cs="Arial" w:eastAsia="Arial" w:hAnsi="Arial"/>
                <w:sz w:val="16"/>
                <w:szCs w:val="16"/>
                <w:color w:val="auto"/>
              </w:rPr>
              <w:t>Midwest</w:t>
            </w:r>
          </w:p>
        </w:tc>
        <w:tc>
          <w:tcPr>
            <w:tcW w:w="1360" w:type="dxa"/>
            <w:vAlign w:val="bottom"/>
          </w:tcPr>
          <w:p>
            <w:pPr>
              <w:jc w:val="right"/>
              <w:spacing w:after="0"/>
              <w:rPr>
                <w:sz w:val="20"/>
                <w:szCs w:val="20"/>
                <w:color w:val="auto"/>
              </w:rPr>
            </w:pPr>
            <w:r>
              <w:rPr>
                <w:rFonts w:ascii="Arial" w:cs="Arial" w:eastAsia="Arial" w:hAnsi="Arial"/>
                <w:sz w:val="16"/>
                <w:szCs w:val="16"/>
                <w:color w:val="auto"/>
              </w:rPr>
              <w:t>23,735</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24,469</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51"/>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York</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6,014</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5"/>
        </w:trPr>
        <w:tc>
          <w:tcPr>
            <w:tcW w:w="5540" w:type="dxa"/>
            <w:vAlign w:val="bottom"/>
          </w:tcPr>
          <w:p>
            <w:pPr>
              <w:ind w:left="360"/>
              <w:spacing w:after="0"/>
              <w:rPr>
                <w:sz w:val="20"/>
                <w:szCs w:val="20"/>
                <w:color w:val="auto"/>
              </w:rPr>
            </w:pPr>
            <w:r>
              <w:rPr>
                <w:rFonts w:ascii="Arial" w:cs="Arial" w:eastAsia="Arial" w:hAnsi="Arial"/>
                <w:sz w:val="16"/>
                <w:szCs w:val="16"/>
                <w:color w:val="auto"/>
              </w:rPr>
              <w:t>ERCOT</w:t>
            </w:r>
          </w:p>
        </w:tc>
        <w:tc>
          <w:tcPr>
            <w:tcW w:w="1360" w:type="dxa"/>
            <w:vAlign w:val="bottom"/>
          </w:tcPr>
          <w:p>
            <w:pPr>
              <w:jc w:val="right"/>
              <w:spacing w:after="0"/>
              <w:rPr>
                <w:sz w:val="20"/>
                <w:szCs w:val="20"/>
                <w:color w:val="auto"/>
              </w:rPr>
            </w:pPr>
            <w:r>
              <w:rPr>
                <w:rFonts w:ascii="Arial" w:cs="Arial" w:eastAsia="Arial" w:hAnsi="Arial"/>
                <w:sz w:val="16"/>
                <w:szCs w:val="16"/>
                <w:color w:val="auto"/>
              </w:rPr>
              <w:t>5,776</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6,272</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51"/>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Power Regions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11,059</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12,798</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5540" w:type="dxa"/>
            <w:vAlign w:val="bottom"/>
          </w:tcPr>
          <w:p>
            <w:pPr>
              <w:ind w:left="360"/>
              <w:spacing w:after="0"/>
              <w:rPr>
                <w:sz w:val="20"/>
                <w:szCs w:val="20"/>
                <w:color w:val="auto"/>
              </w:rPr>
            </w:pPr>
            <w:r>
              <w:rPr>
                <w:rFonts w:ascii="Arial" w:cs="Arial" w:eastAsia="Arial" w:hAnsi="Arial"/>
                <w:sz w:val="16"/>
                <w:szCs w:val="16"/>
                <w:color w:val="auto"/>
              </w:rPr>
              <w:t>Calpine</w:t>
            </w:r>
          </w:p>
        </w:tc>
        <w:tc>
          <w:tcPr>
            <w:tcW w:w="1360" w:type="dxa"/>
            <w:vAlign w:val="bottom"/>
          </w:tcPr>
          <w:p>
            <w:pPr>
              <w:jc w:val="right"/>
              <w:spacing w:after="0"/>
              <w:rPr>
                <w:sz w:val="20"/>
                <w:szCs w:val="20"/>
                <w:color w:val="auto"/>
              </w:rPr>
            </w:pPr>
            <w:r>
              <w:rPr>
                <w:rFonts w:ascii="Arial" w:cs="Arial" w:eastAsia="Arial" w:hAnsi="Arial"/>
                <w:sz w:val="16"/>
                <w:szCs w:val="16"/>
                <w:color w:val="auto"/>
              </w:rPr>
              <w:t>28,586</w:t>
            </w:r>
          </w:p>
        </w:tc>
        <w:tc>
          <w:tcPr>
            <w:tcW w:w="1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28,586</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1"/>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Supply/Sales by Segment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93,330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68,422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the proportionate share of output where we have an undivided ownership interest in jointly-owned generating plants.</w:t>
      </w:r>
    </w:p>
    <w:p>
      <w:pPr>
        <w:spacing w:after="0" w:line="200" w:lineRule="exact"/>
        <w:rPr>
          <w:rFonts w:ascii="Arial" w:cs="Arial" w:eastAsia="Arial" w:hAnsi="Arial"/>
          <w:sz w:val="14"/>
          <w:szCs w:val="14"/>
          <w:color w:val="auto"/>
        </w:rPr>
      </w:pPr>
    </w:p>
    <w:p>
      <w:pPr>
        <w:spacing w:after="0" w:line="309"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Nuclear Fleet Capacity Factor. </w:t>
      </w:r>
      <w:r>
        <w:rPr>
          <w:rFonts w:ascii="Arial" w:cs="Arial" w:eastAsia="Arial" w:hAnsi="Arial"/>
          <w:sz w:val="16"/>
          <w:szCs w:val="16"/>
          <w:color w:val="auto"/>
        </w:rPr>
        <w:t>The following table presents nuclear fleet operating data for our plants that reflects our ownership percentage for stations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operated by us and excludes Salem and STP, which are operated by PSEG and STPNOC, respectively. The nuclear fleet capacity factor presented in the table is defined as the ratio of the actual output of a unit (or combination of units) over a period of time to its output if the unit had operated at net monthly mean capacity for that time period. We consider capacity factor to be a useful measure to analyze the nuclear fleet performance between periods. We have included the analysis below as a complement to the financial information provided in accordance with GAAP. However, these measures are not a presentation defined under GAAP and may not be comparable to other companies’ presentations or be more useful than the GAAP information provided elsewhere in this report.</w:t>
      </w:r>
    </w:p>
    <w:p>
      <w:pPr>
        <w:spacing w:after="0" w:line="186" w:lineRule="exact"/>
        <w:rPr>
          <w:sz w:val="20"/>
          <w:szCs w:val="20"/>
          <w:color w:val="auto"/>
        </w:rPr>
      </w:pPr>
    </w:p>
    <w:p>
      <w:pPr>
        <w:ind w:left="768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27940</wp:posOffset>
            </wp:positionV>
            <wp:extent cx="33432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2026</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jc w:val="right"/>
              <w:ind w:right="1064"/>
              <w:spacing w:after="0"/>
              <w:rPr>
                <w:sz w:val="20"/>
                <w:szCs w:val="20"/>
                <w:color w:val="auto"/>
              </w:rPr>
            </w:pPr>
            <w:r>
              <w:rPr>
                <w:rFonts w:ascii="Arial" w:cs="Arial" w:eastAsia="Arial" w:hAnsi="Arial"/>
                <w:sz w:val="13"/>
                <w:szCs w:val="13"/>
                <w:b w:val="1"/>
                <w:bCs w:val="1"/>
                <w:color w:val="auto"/>
              </w:rPr>
              <w:t>2025</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r>
        <w:trPr>
          <w:trHeight w:val="236"/>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Nuclear fleet capacity factor</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92.3 %</w:t>
            </w:r>
          </w:p>
        </w:tc>
        <w:tc>
          <w:tcPr>
            <w:tcW w:w="120" w:type="dxa"/>
            <w:vAlign w:val="bottom"/>
            <w:shd w:val="clear" w:color="auto" w:fill="CCEEFF"/>
          </w:tcPr>
          <w:p>
            <w:pPr>
              <w:spacing w:after="0"/>
              <w:rPr>
                <w:sz w:val="20"/>
                <w:szCs w:val="20"/>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94.1 %</w:t>
            </w:r>
          </w:p>
        </w:tc>
      </w:tr>
      <w:tr>
        <w:trPr>
          <w:trHeight w:val="235"/>
        </w:trPr>
        <w:tc>
          <w:tcPr>
            <w:tcW w:w="7700" w:type="dxa"/>
            <w:vAlign w:val="bottom"/>
            <w:gridSpan w:val="2"/>
          </w:tcPr>
          <w:p>
            <w:pPr>
              <w:ind w:left="20"/>
              <w:spacing w:after="0"/>
              <w:rPr>
                <w:sz w:val="20"/>
                <w:szCs w:val="20"/>
                <w:color w:val="auto"/>
              </w:rPr>
            </w:pPr>
            <w:r>
              <w:rPr>
                <w:rFonts w:ascii="Arial" w:cs="Arial" w:eastAsia="Arial" w:hAnsi="Arial"/>
                <w:sz w:val="16"/>
                <w:szCs w:val="16"/>
                <w:color w:val="auto"/>
              </w:rPr>
              <w:t>Refueling outage days</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2580" w:type="dxa"/>
            <w:vAlign w:val="bottom"/>
          </w:tcPr>
          <w:p>
            <w:pPr>
              <w:jc w:val="right"/>
              <w:ind w:right="124"/>
              <w:spacing w:after="0"/>
              <w:rPr>
                <w:sz w:val="20"/>
                <w:szCs w:val="20"/>
                <w:color w:val="auto"/>
              </w:rPr>
            </w:pPr>
            <w:r>
              <w:rPr>
                <w:rFonts w:ascii="Arial" w:cs="Arial" w:eastAsia="Arial" w:hAnsi="Arial"/>
                <w:sz w:val="16"/>
                <w:szCs w:val="16"/>
                <w:color w:val="auto"/>
              </w:rPr>
              <w:t>88</w:t>
            </w:r>
          </w:p>
        </w:tc>
      </w:tr>
      <w:tr>
        <w:trPr>
          <w:trHeight w:val="251"/>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Non-refueling outage days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5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Equivalent Forced Outage Factor (Natural Gas, Oil, and Pumped-storage Hydro). </w:t>
      </w:r>
      <w:r>
        <w:rPr>
          <w:rFonts w:ascii="Arial" w:cs="Arial" w:eastAsia="Arial" w:hAnsi="Arial"/>
          <w:sz w:val="16"/>
          <w:szCs w:val="16"/>
          <w:color w:val="auto"/>
        </w:rPr>
        <w:t>As a result of our expanded fleet following the acquisition of Calpine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January 2026, we now consider EFOF to be a key operational metric beginning in 2026. EFOF represents the percentage for which a generating unit is not available due to forced outages and forced deratings in a given period. We consider to be a useful measure in analyzing the reliability and performance of our natural gas, oil, and pumped-storage hydro fleet. The EFOF for the three months ended March 31, 2026 is 4.5%. This operational metric is being included as a complement to the financial information provided in accordance with GAAP. However, as an operational metric, it may not be calculated or presented in a manner comparable to similar metrics used by other companies.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Electricity Prices. </w:t>
      </w:r>
      <w:r>
        <w:rPr>
          <w:rFonts w:ascii="Arial" w:cs="Arial" w:eastAsia="Arial" w:hAnsi="Arial"/>
          <w:sz w:val="16"/>
          <w:szCs w:val="16"/>
          <w:color w:val="auto"/>
        </w:rPr>
        <w:t>As a producer and supplier of electricity, the price of electricity has a significant impact on our operating revenues and purchased 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We report the sale and purchase of electricity in the spot market on a net hourly basis in either Operating revenues or Purchased power and fuel expense based on our net hourly position. We assess the net position by ISO/RTO across segments and, where applicable, by segment within the ISO/RTO. The price of electricity is impacted by several variables, including but not limited to, the price of fuels, generation resources in the geographic region, weather, ongoing competition, emerging technologies, as well as macroeconomic and regulatory factors. The following table presents an average day-ahead around-the-clock reference price ($/MWh) for the periods presented for zones/hubs in each ISO/RTO where we have significant activity. This does not reflect prices we ultimately realized.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March 31,</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
        </w:trPr>
        <w:tc>
          <w:tcPr>
            <w:tcW w:w="5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2"/>
        </w:trPr>
        <w:tc>
          <w:tcPr>
            <w:tcW w:w="5520" w:type="dxa"/>
            <w:vAlign w:val="bottom"/>
          </w:tcPr>
          <w:p>
            <w:pPr>
              <w:ind w:left="20"/>
              <w:spacing w:after="0"/>
              <w:rPr>
                <w:sz w:val="20"/>
                <w:szCs w:val="20"/>
                <w:color w:val="auto"/>
              </w:rPr>
            </w:pPr>
            <w:r>
              <w:rPr>
                <w:rFonts w:ascii="Arial" w:cs="Arial" w:eastAsia="Arial" w:hAnsi="Arial"/>
                <w:sz w:val="13"/>
                <w:szCs w:val="13"/>
                <w:b w:val="1"/>
                <w:bCs w:val="1"/>
                <w:color w:val="auto"/>
              </w:rPr>
              <w:t>ISO/RTO</w:t>
            </w:r>
          </w:p>
        </w:tc>
        <w:tc>
          <w:tcPr>
            <w:tcW w:w="340" w:type="dxa"/>
            <w:vAlign w:val="bottom"/>
          </w:tcPr>
          <w:p>
            <w:pPr>
              <w:spacing w:after="0"/>
              <w:rPr>
                <w:sz w:val="16"/>
                <w:szCs w:val="16"/>
                <w:color w:val="auto"/>
              </w:rPr>
            </w:pPr>
          </w:p>
        </w:tc>
        <w:tc>
          <w:tcPr>
            <w:tcW w:w="1020" w:type="dxa"/>
            <w:vAlign w:val="bottom"/>
          </w:tcPr>
          <w:p>
            <w:pPr>
              <w:jc w:val="right"/>
              <w:ind w:right="463"/>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1"/>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 Change</w:t>
            </w:r>
          </w:p>
        </w:tc>
        <w:tc>
          <w:tcPr>
            <w:tcW w:w="1380" w:type="dxa"/>
            <w:vAlign w:val="bottom"/>
          </w:tcPr>
          <w:p>
            <w:pPr>
              <w:jc w:val="right"/>
              <w:ind w:right="301"/>
              <w:spacing w:after="0"/>
              <w:rPr>
                <w:sz w:val="20"/>
                <w:szCs w:val="20"/>
                <w:color w:val="auto"/>
              </w:rPr>
            </w:pPr>
            <w:r>
              <w:rPr>
                <w:rFonts w:ascii="Arial" w:cs="Arial" w:eastAsia="Arial" w:hAnsi="Arial"/>
                <w:sz w:val="13"/>
                <w:szCs w:val="13"/>
                <w:b w:val="1"/>
                <w:bCs w:val="1"/>
                <w:color w:val="auto"/>
              </w:rPr>
              <w:t>% Change</w:t>
            </w:r>
          </w:p>
        </w:tc>
      </w:tr>
      <w:tr>
        <w:trPr>
          <w:trHeight w:val="240"/>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PJM - PJM West</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97.16</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53.69</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43.47</w:t>
            </w:r>
          </w:p>
        </w:tc>
        <w:tc>
          <w:tcPr>
            <w:tcW w:w="12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81.0 %</w:t>
            </w:r>
          </w:p>
        </w:tc>
      </w:tr>
      <w:tr>
        <w:trPr>
          <w:trHeight w:val="235"/>
        </w:trPr>
        <w:tc>
          <w:tcPr>
            <w:tcW w:w="5520" w:type="dxa"/>
            <w:vAlign w:val="bottom"/>
          </w:tcPr>
          <w:p>
            <w:pPr>
              <w:ind w:left="20"/>
              <w:spacing w:after="0"/>
              <w:rPr>
                <w:sz w:val="20"/>
                <w:szCs w:val="20"/>
                <w:color w:val="auto"/>
              </w:rPr>
            </w:pPr>
            <w:r>
              <w:rPr>
                <w:rFonts w:ascii="Arial" w:cs="Arial" w:eastAsia="Arial" w:hAnsi="Arial"/>
                <w:sz w:val="16"/>
                <w:szCs w:val="16"/>
                <w:color w:val="auto"/>
              </w:rPr>
              <w:t>PJM - ComEd</w:t>
            </w:r>
          </w:p>
        </w:tc>
        <w:tc>
          <w:tcPr>
            <w:tcW w:w="340" w:type="dxa"/>
            <w:vAlign w:val="bottom"/>
          </w:tcPr>
          <w:p>
            <w:pPr>
              <w:spacing w:after="0"/>
              <w:rPr>
                <w:sz w:val="20"/>
                <w:szCs w:val="20"/>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50.71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15.40</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43.6 %</w:t>
            </w:r>
          </w:p>
        </w:tc>
      </w:tr>
      <w:tr>
        <w:trPr>
          <w:trHeight w:val="25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NYISO - Central</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112.23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36.92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49.0 %</w:t>
            </w:r>
          </w:p>
        </w:tc>
      </w:tr>
      <w:tr>
        <w:trPr>
          <w:trHeight w:val="235"/>
        </w:trPr>
        <w:tc>
          <w:tcPr>
            <w:tcW w:w="5520" w:type="dxa"/>
            <w:vAlign w:val="bottom"/>
          </w:tcPr>
          <w:p>
            <w:pPr>
              <w:ind w:left="20"/>
              <w:spacing w:after="0"/>
              <w:rPr>
                <w:sz w:val="20"/>
                <w:szCs w:val="20"/>
                <w:color w:val="auto"/>
              </w:rPr>
            </w:pPr>
            <w:r>
              <w:rPr>
                <w:rFonts w:ascii="Arial" w:cs="Arial" w:eastAsia="Arial" w:hAnsi="Arial"/>
                <w:sz w:val="16"/>
                <w:szCs w:val="16"/>
                <w:color w:val="auto"/>
              </w:rPr>
              <w:t>ERCOT - North</w:t>
            </w:r>
          </w:p>
        </w:tc>
        <w:tc>
          <w:tcPr>
            <w:tcW w:w="340" w:type="dxa"/>
            <w:vAlign w:val="bottom"/>
          </w:tcPr>
          <w:p>
            <w:pPr>
              <w:spacing w:after="0"/>
              <w:rPr>
                <w:sz w:val="20"/>
                <w:szCs w:val="20"/>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40.65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9.26</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29.5 %</w:t>
            </w:r>
          </w:p>
        </w:tc>
      </w:tr>
      <w:tr>
        <w:trPr>
          <w:trHeight w:val="25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ERCOT - Houston</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38.55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21.5 %</w:t>
            </w:r>
          </w:p>
        </w:tc>
      </w:tr>
      <w:tr>
        <w:trPr>
          <w:trHeight w:val="235"/>
        </w:trPr>
        <w:tc>
          <w:tcPr>
            <w:tcW w:w="5520" w:type="dxa"/>
            <w:vAlign w:val="bottom"/>
          </w:tcPr>
          <w:p>
            <w:pPr>
              <w:ind w:left="20"/>
              <w:spacing w:after="0"/>
              <w:rPr>
                <w:sz w:val="20"/>
                <w:szCs w:val="20"/>
                <w:color w:val="auto"/>
              </w:rPr>
            </w:pPr>
            <w:r>
              <w:rPr>
                <w:rFonts w:ascii="Arial" w:cs="Arial" w:eastAsia="Arial" w:hAnsi="Arial"/>
                <w:sz w:val="16"/>
                <w:szCs w:val="16"/>
                <w:color w:val="auto"/>
              </w:rPr>
              <w:t>ISO-NE - Southeast Massachusetts</w:t>
            </w:r>
          </w:p>
        </w:tc>
        <w:tc>
          <w:tcPr>
            <w:tcW w:w="340" w:type="dxa"/>
            <w:vAlign w:val="bottom"/>
          </w:tcPr>
          <w:p>
            <w:pPr>
              <w:spacing w:after="0"/>
              <w:rPr>
                <w:sz w:val="20"/>
                <w:szCs w:val="20"/>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118.82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13.4 %</w:t>
            </w:r>
          </w:p>
        </w:tc>
      </w:tr>
      <w:tr>
        <w:trPr>
          <w:trHeight w:val="25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CAISO - NP15</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808"/>
        </w:trPr>
        <w:tc>
          <w:tcPr>
            <w:tcW w:w="55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58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860"/>
        </w:trPr>
        <w:tc>
          <w:tcPr>
            <w:tcW w:w="5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Capacity Prices. </w:t>
      </w:r>
      <w:r>
        <w:rPr>
          <w:rFonts w:ascii="Arial" w:cs="Arial" w:eastAsia="Arial" w:hAnsi="Arial"/>
          <w:sz w:val="16"/>
          <w:szCs w:val="16"/>
          <w:color w:val="auto"/>
        </w:rPr>
        <w:t>We participate in capacity auctions in each ISO/RTO where we have qualifying generating assets. We also incur capacity costs associated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load served, which are factored into customer sales prices. Capacity prices have a material impact on our operating revenues and purchased power and fuel expense. We report capacity on a net monthly basis in either Operating revenues or Purchased power and fuel expense. We assess the net position by ISO/RTO across segments and, where applicable, by segment within the ISO/RTO. The following table presents the average capacity prices ($/MW Day) for each ISO/RTO in which we have significant activity. Prices reflect the weighted average prices for the various auction periods within the three months ended March 31, 2026 and 2025.</w:t>
      </w:r>
    </w:p>
    <w:p>
      <w:pPr>
        <w:spacing w:after="0" w:line="12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also enter into bilateral capacity contracts at negotiated contract prices. These contracts primarily relate to resource adequacy in CAISO and have a material impact on our operating revenues. Negotiated contract prices from these bilateral contracts are not included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2"/>
        </w:trPr>
        <w:tc>
          <w:tcPr>
            <w:tcW w:w="5520" w:type="dxa"/>
            <w:vAlign w:val="bottom"/>
          </w:tcPr>
          <w:p>
            <w:pPr>
              <w:ind w:left="20"/>
              <w:spacing w:after="0"/>
              <w:rPr>
                <w:sz w:val="20"/>
                <w:szCs w:val="20"/>
                <w:color w:val="auto"/>
              </w:rPr>
            </w:pPr>
            <w:r>
              <w:rPr>
                <w:rFonts w:ascii="Arial" w:cs="Arial" w:eastAsia="Arial" w:hAnsi="Arial"/>
                <w:sz w:val="13"/>
                <w:szCs w:val="13"/>
                <w:b w:val="1"/>
                <w:bCs w:val="1"/>
                <w:color w:val="auto"/>
              </w:rPr>
              <w:t>ISO/RTO</w:t>
            </w:r>
          </w:p>
        </w:tc>
        <w:tc>
          <w:tcPr>
            <w:tcW w:w="300" w:type="dxa"/>
            <w:vAlign w:val="bottom"/>
          </w:tcPr>
          <w:p>
            <w:pPr>
              <w:spacing w:after="0"/>
              <w:rPr>
                <w:sz w:val="16"/>
                <w:szCs w:val="16"/>
                <w:color w:val="auto"/>
              </w:rPr>
            </w:pPr>
          </w:p>
        </w:tc>
        <w:tc>
          <w:tcPr>
            <w:tcW w:w="1060" w:type="dxa"/>
            <w:vAlign w:val="bottom"/>
          </w:tcPr>
          <w:p>
            <w:pPr>
              <w:jc w:val="right"/>
              <w:ind w:right="465"/>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 Change</w:t>
            </w:r>
          </w:p>
        </w:tc>
        <w:tc>
          <w:tcPr>
            <w:tcW w:w="1380" w:type="dxa"/>
            <w:vAlign w:val="bottom"/>
          </w:tcPr>
          <w:p>
            <w:pPr>
              <w:jc w:val="right"/>
              <w:ind w:right="303"/>
              <w:spacing w:after="0"/>
              <w:rPr>
                <w:sz w:val="20"/>
                <w:szCs w:val="20"/>
                <w:color w:val="auto"/>
              </w:rPr>
            </w:pPr>
            <w:r>
              <w:rPr>
                <w:rFonts w:ascii="Arial" w:cs="Arial" w:eastAsia="Arial" w:hAnsi="Arial"/>
                <w:sz w:val="13"/>
                <w:szCs w:val="13"/>
                <w:b w:val="1"/>
                <w:bCs w:val="1"/>
                <w:color w:val="auto"/>
              </w:rPr>
              <w:t>% Change</w:t>
            </w:r>
          </w:p>
        </w:tc>
      </w:tr>
      <w:tr>
        <w:trPr>
          <w:trHeight w:val="241"/>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PJM - Eastern Mid-Atlantic Area Council</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269.92</w:t>
            </w: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53.60</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216.32</w:t>
            </w:r>
          </w:p>
        </w:tc>
        <w:tc>
          <w:tcPr>
            <w:tcW w:w="12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403.6 %</w:t>
            </w:r>
          </w:p>
        </w:tc>
      </w:tr>
      <w:tr>
        <w:trPr>
          <w:trHeight w:val="235"/>
        </w:trPr>
        <w:tc>
          <w:tcPr>
            <w:tcW w:w="5520" w:type="dxa"/>
            <w:vAlign w:val="bottom"/>
          </w:tcPr>
          <w:p>
            <w:pPr>
              <w:ind w:left="20"/>
              <w:spacing w:after="0"/>
              <w:rPr>
                <w:sz w:val="20"/>
                <w:szCs w:val="20"/>
                <w:color w:val="auto"/>
              </w:rPr>
            </w:pPr>
            <w:r>
              <w:rPr>
                <w:rFonts w:ascii="Arial" w:cs="Arial" w:eastAsia="Arial" w:hAnsi="Arial"/>
                <w:sz w:val="16"/>
                <w:szCs w:val="16"/>
                <w:color w:val="auto"/>
              </w:rPr>
              <w:t>PJM - ComEd</w:t>
            </w:r>
          </w:p>
        </w:tc>
        <w:tc>
          <w:tcPr>
            <w:tcW w:w="300" w:type="dxa"/>
            <w:vAlign w:val="bottom"/>
          </w:tcPr>
          <w:p>
            <w:pPr>
              <w:spacing w:after="0"/>
              <w:rPr>
                <w:sz w:val="20"/>
                <w:szCs w:val="20"/>
                <w:color w:val="auto"/>
              </w:rPr>
            </w:pP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269.92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28.92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241.00</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833.3 %</w:t>
            </w:r>
          </w:p>
        </w:tc>
      </w:tr>
      <w:tr>
        <w:trPr>
          <w:trHeight w:val="25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NYISO - Rest of State</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112.33</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86.33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26.00</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30.1 %</w:t>
            </w:r>
          </w:p>
        </w:tc>
      </w:tr>
      <w:tr>
        <w:trPr>
          <w:trHeight w:val="298"/>
        </w:trPr>
        <w:tc>
          <w:tcPr>
            <w:tcW w:w="5520" w:type="dxa"/>
            <w:vAlign w:val="bottom"/>
          </w:tcPr>
          <w:p>
            <w:pPr>
              <w:ind w:left="20"/>
              <w:spacing w:after="0"/>
              <w:rPr>
                <w:sz w:val="20"/>
                <w:szCs w:val="20"/>
                <w:color w:val="auto"/>
              </w:rPr>
            </w:pPr>
            <w:r>
              <w:rPr>
                <w:rFonts w:ascii="Arial" w:cs="Arial" w:eastAsia="Arial" w:hAnsi="Arial"/>
                <w:sz w:val="16"/>
                <w:szCs w:val="16"/>
                <w:color w:val="auto"/>
              </w:rPr>
              <w:t>ISO-NE - Rest of Pool</w:t>
            </w:r>
            <w:r>
              <w:rPr>
                <w:rFonts w:ascii="Arial" w:cs="Arial" w:eastAsia="Arial" w:hAnsi="Arial"/>
                <w:sz w:val="21"/>
                <w:szCs w:val="21"/>
                <w:color w:val="auto"/>
                <w:vertAlign w:val="superscript"/>
              </w:rPr>
              <w:t>(a)</w:t>
            </w:r>
          </w:p>
        </w:tc>
        <w:tc>
          <w:tcPr>
            <w:tcW w:w="300" w:type="dxa"/>
            <w:vAlign w:val="bottom"/>
          </w:tcPr>
          <w:p>
            <w:pPr>
              <w:spacing w:after="0"/>
              <w:rPr>
                <w:sz w:val="24"/>
                <w:szCs w:val="24"/>
                <w:color w:val="auto"/>
              </w:rPr>
            </w:pP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84.37</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82.57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2.2 %</w:t>
            </w:r>
          </w:p>
        </w:tc>
      </w:tr>
    </w:tbl>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We did not have significant activity at this zone for the three months ended March 31, 2025.</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ZEC Prices. </w:t>
      </w:r>
      <w:r>
        <w:rPr>
          <w:rFonts w:ascii="Arial" w:cs="Arial" w:eastAsia="Arial" w:hAnsi="Arial"/>
          <w:sz w:val="16"/>
          <w:szCs w:val="16"/>
          <w:color w:val="auto"/>
        </w:rPr>
        <w:t>We are compensated through state programs for the emissions-free attributes of our nuclear generation. The following table includes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average ZEC reference prices ($/MWh) for each state and associated segment in which state programs have been enacted. Gross prices reflect the weighted average price for the various delivery periods within the three months ended March 31, 2026 and 2025 and may not necessarily reflect prices we ultimately realize as a result of interaction with the nuclear PTC discussed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0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State (Segment)</w:t>
            </w:r>
            <w:r>
              <w:rPr>
                <w:rFonts w:ascii="Arial" w:cs="Arial" w:eastAsia="Arial" w:hAnsi="Arial"/>
                <w:sz w:val="16"/>
                <w:szCs w:val="16"/>
                <w:b w:val="1"/>
                <w:bCs w:val="1"/>
                <w:color w:val="auto"/>
                <w:vertAlign w:val="superscript"/>
              </w:rPr>
              <w:t>(a)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 Change</w:t>
            </w:r>
          </w:p>
        </w:tc>
      </w:tr>
      <w:tr>
        <w:trPr>
          <w:trHeight w:val="236"/>
        </w:trPr>
        <w:tc>
          <w:tcPr>
            <w:tcW w:w="552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New Jersey (Mid-Atlantic)</w:t>
            </w:r>
            <w:r>
              <w:rPr>
                <w:rFonts w:ascii="Arial" w:cs="Arial" w:eastAsia="Arial" w:hAnsi="Arial"/>
                <w:sz w:val="21"/>
                <w:szCs w:val="21"/>
                <w:color w:val="auto"/>
                <w:vertAlign w:val="superscript"/>
              </w:rPr>
              <w:t>(b)</w:t>
            </w:r>
          </w:p>
        </w:tc>
        <w:tc>
          <w:tcPr>
            <w:tcW w:w="860" w:type="dxa"/>
            <w:vAlign w:val="bottom"/>
            <w:shd w:val="clear" w:color="auto" w:fill="CCEEFF"/>
          </w:tcPr>
          <w:p>
            <w:pPr>
              <w:jc w:val="right"/>
              <w:ind w:right="691"/>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right"/>
              <w:ind w:right="717"/>
              <w:spacing w:after="0"/>
              <w:rPr>
                <w:sz w:val="20"/>
                <w:szCs w:val="20"/>
                <w:color w:val="auto"/>
              </w:rPr>
            </w:pPr>
            <w:r>
              <w:rPr>
                <w:rFonts w:ascii="Arial" w:cs="Arial" w:eastAsia="Arial" w:hAnsi="Arial"/>
                <w:sz w:val="16"/>
                <w:szCs w:val="16"/>
                <w:color w:val="auto"/>
              </w:rPr>
              <w:t>—   $</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2"/>
        </w:trPr>
        <w:tc>
          <w:tcPr>
            <w:tcW w:w="5520" w:type="dxa"/>
            <w:vAlign w:val="bottom"/>
          </w:tcPr>
          <w:p>
            <w:pPr>
              <w:ind w:left="20"/>
              <w:spacing w:after="0"/>
              <w:rPr>
                <w:sz w:val="20"/>
                <w:szCs w:val="20"/>
                <w:color w:val="auto"/>
              </w:rPr>
            </w:pPr>
            <w:r>
              <w:rPr>
                <w:rFonts w:ascii="Arial" w:cs="Arial" w:eastAsia="Arial" w:hAnsi="Arial"/>
                <w:sz w:val="16"/>
                <w:szCs w:val="16"/>
                <w:color w:val="auto"/>
              </w:rPr>
              <w:t>Illinois (Midwest</w:t>
            </w:r>
            <w:r>
              <w:rPr>
                <w:rFonts w:ascii="Times New Roman" w:cs="Times New Roman" w:eastAsia="Times New Roman" w:hAnsi="Times New Roman"/>
                <w:sz w:val="17"/>
                <w:szCs w:val="17"/>
                <w:color w:val="auto"/>
              </w:rPr>
              <w:t>)</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(87.5)%</w:t>
            </w:r>
          </w:p>
        </w:tc>
      </w:tr>
      <w:tr>
        <w:trPr>
          <w:trHeight w:val="25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 (New York)</w:t>
            </w: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14.76</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18.27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See ITEM 1. BUSINESS, Environmental Matters and Regulation of our 2025 Form 10-K for additional information on the plants receiving payments through state programs.</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New Jersey ZEC program concluded in May 2025.</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Illinois CMC Price. </w:t>
      </w:r>
      <w:r>
        <w:rPr>
          <w:rFonts w:ascii="Arial" w:cs="Arial" w:eastAsia="Arial" w:hAnsi="Arial"/>
          <w:sz w:val="16"/>
          <w:szCs w:val="16"/>
          <w:color w:val="auto"/>
        </w:rPr>
        <w:t>The price received (paid) for each CMC is determined by the IPA monthly by subtracting energy and capacity index prices from the bid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 which resulted in $33.43 per MWh for the period June 2024 through May 2025 and $33.50 per MWh for the period June 2025 through May 2026. If the monthly CMC price per MWh calculation results in a net positive value, ComEd will multiply that value by the delivered quantity and pay the total to us. If the CMC price per MWh calculation results in a net negative value, we will multiply this value by the delivered quantity and pay the net value to ComEd. The average CMC prices per MWh were ($26.18) and ($2.04) for the three months ended March 31, 2026 and 2025, respectively. The average CMC prices may not necessarily reflect prices we ultimately realize as a result of interaction with the nuclear PTC discussed below.</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Nuclear PTC. </w:t>
      </w:r>
      <w:r>
        <w:rPr>
          <w:rFonts w:ascii="Arial" w:cs="Arial" w:eastAsia="Arial" w:hAnsi="Arial"/>
          <w:sz w:val="16"/>
          <w:szCs w:val="16"/>
          <w:color w:val="auto"/>
        </w:rPr>
        <w:t>Beginning in 2024, our nuclear units are eligible for a PTC extending through 2032. The nuclear PTC provides a transferable credit up to $15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MWh and is subject to phase-out when annual gross receipts are between $26.00 per MWh and $44.75 per MWh for 2025. We expect the inflation factor for 2026 to be published in the second or third quarter of 2026. Both the amount of the PTC and the gross receipts thresholds adjust for inflation annually through the duration of the program based on the GDP price deflator for the preceding calendar year.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Many of the state-sponsored programs (e.g., ZECs and CMCs) providing compensation for the emissions-free attributes of generation from certain of our nuclear units include contractual or other provisions that require us to refund that compensation up to the amount of the nuclear PTC received or pass through the entirety of the nuclear PTC received. See Note 6 — Government Assistance of the Combined Notes to Consolidated Financial Statements for additional information on the nuclear PTC.</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impacts to Operating revenues related to the benefits of nuclear PTC and state-sponsored programs subject to refund or pass through as described above for the three months ended March 31, 2026 compared to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3"/>
                <w:szCs w:val="13"/>
                <w:b w:val="1"/>
                <w:bCs w:val="1"/>
                <w:color w:val="auto"/>
              </w:rPr>
              <w:t>Three Months Ended March 31,</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2025</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5"/>
              <w:spacing w:after="0"/>
              <w:rPr>
                <w:sz w:val="20"/>
                <w:szCs w:val="20"/>
                <w:color w:val="auto"/>
              </w:rPr>
            </w:pPr>
            <w:r>
              <w:rPr>
                <w:rFonts w:ascii="Arial" w:cs="Arial" w:eastAsia="Arial" w:hAnsi="Arial"/>
                <w:sz w:val="13"/>
                <w:szCs w:val="13"/>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 Change</w:t>
            </w:r>
          </w:p>
        </w:tc>
      </w:tr>
      <w:tr>
        <w:trPr>
          <w:trHeight w:val="24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Nuclear PTC revenue</w:t>
            </w:r>
            <w:r>
              <w:rPr>
                <w:rFonts w:ascii="Arial" w:cs="Arial" w:eastAsia="Arial" w:hAnsi="Arial"/>
                <w:sz w:val="21"/>
                <w:szCs w:val="21"/>
                <w:color w:val="auto"/>
                <w:vertAlign w:val="superscript"/>
              </w:rPr>
              <w:t>(a)</w:t>
            </w:r>
          </w:p>
        </w:tc>
        <w:tc>
          <w:tcPr>
            <w:tcW w:w="880" w:type="dxa"/>
            <w:vAlign w:val="bottom"/>
            <w:shd w:val="clear" w:color="auto" w:fill="CCEEFF"/>
          </w:tcPr>
          <w:p>
            <w:pPr>
              <w:jc w:val="right"/>
              <w:ind w:right="71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98"/>
        </w:trPr>
        <w:tc>
          <w:tcPr>
            <w:tcW w:w="5520" w:type="dxa"/>
            <w:vAlign w:val="bottom"/>
          </w:tcPr>
          <w:p>
            <w:pPr>
              <w:ind w:left="20"/>
              <w:spacing w:after="0"/>
              <w:rPr>
                <w:sz w:val="20"/>
                <w:szCs w:val="20"/>
                <w:color w:val="auto"/>
              </w:rPr>
            </w:pPr>
            <w:r>
              <w:rPr>
                <w:rFonts w:ascii="Arial" w:cs="Arial" w:eastAsia="Arial" w:hAnsi="Arial"/>
                <w:sz w:val="16"/>
                <w:szCs w:val="16"/>
                <w:color w:val="auto"/>
              </w:rPr>
              <w:t>State-sponsored programs net revenue</w:t>
            </w:r>
            <w:r>
              <w:rPr>
                <w:rFonts w:ascii="Arial" w:cs="Arial" w:eastAsia="Arial" w:hAnsi="Arial"/>
                <w:sz w:val="21"/>
                <w:szCs w:val="21"/>
                <w:color w:val="auto"/>
                <w:vertAlign w:val="superscript"/>
              </w:rPr>
              <w:t>(b)</w:t>
            </w: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(359.1)%</w:t>
            </w:r>
          </w:p>
        </w:tc>
      </w:tr>
    </w:tbl>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hanging="332"/>
        <w:spacing w:after="0" w:line="262" w:lineRule="auto"/>
        <w:tabs>
          <w:tab w:leader="none" w:pos="3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estimate required the exercise of judgment in determining the amount of nuclear PTC expected for each of our nuclear units. Refer to Note 6 — Government Assistance of the Combined Notes to Consolidated Financial Statements for additional information.</w:t>
      </w:r>
    </w:p>
    <w:p>
      <w:pPr>
        <w:ind w:left="340" w:right="20" w:hanging="332"/>
        <w:spacing w:after="0" w:line="264" w:lineRule="auto"/>
        <w:tabs>
          <w:tab w:leader="none" w:pos="3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only state-sponsored programs that have contractual or other provisions that require us to refund that compensation up to the amount of the nuclear PTC received or pass through the entirety of the nuclear PTC received.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the three months ended March 31, 2026 compared to 2025, changes in </w:t>
      </w:r>
      <w:r>
        <w:rPr>
          <w:rFonts w:ascii="Arial" w:cs="Arial" w:eastAsia="Arial" w:hAnsi="Arial"/>
          <w:sz w:val="16"/>
          <w:szCs w:val="16"/>
          <w:b w:val="1"/>
          <w:bCs w:val="1"/>
          <w:color w:val="auto"/>
        </w:rPr>
        <w:t>Operating revenues</w:t>
      </w:r>
      <w:r>
        <w:rPr>
          <w:rFonts w:ascii="Arial" w:cs="Arial" w:eastAsia="Arial" w:hAnsi="Arial"/>
          <w:sz w:val="16"/>
          <w:szCs w:val="16"/>
          <w:color w:val="auto"/>
        </w:rPr>
        <w:t xml:space="preserve"> by segment were approximately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5820" w:type="dxa"/>
            <w:vAlign w:val="bottom"/>
          </w:tcPr>
          <w:p>
            <w:pPr>
              <w:spacing w:after="0"/>
              <w:rPr>
                <w:sz w:val="15"/>
                <w:szCs w:val="15"/>
                <w:color w:val="auto"/>
              </w:rPr>
            </w:pPr>
          </w:p>
        </w:tc>
      </w:tr>
      <w:tr>
        <w:trPr>
          <w:trHeight w:val="181"/>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b w:val="1"/>
                <w:bCs w:val="1"/>
                <w:color w:val="auto"/>
              </w:rPr>
              <w:t>$ Change</w:t>
            </w:r>
          </w:p>
        </w:tc>
        <w:tc>
          <w:tcPr>
            <w:tcW w:w="1620" w:type="dxa"/>
            <w:vAlign w:val="bottom"/>
            <w:gridSpan w:val="2"/>
          </w:tcPr>
          <w:p>
            <w:pPr>
              <w:ind w:left="440"/>
              <w:spacing w:after="0"/>
              <w:rPr>
                <w:sz w:val="20"/>
                <w:szCs w:val="20"/>
                <w:color w:val="auto"/>
              </w:rPr>
            </w:pPr>
            <w:r>
              <w:rPr>
                <w:rFonts w:ascii="Arial" w:cs="Arial" w:eastAsia="Arial" w:hAnsi="Arial"/>
                <w:sz w:val="13"/>
                <w:szCs w:val="13"/>
                <w:b w:val="1"/>
                <w:bCs w:val="1"/>
                <w:color w:val="auto"/>
              </w:rPr>
              <w:t>% Change</w:t>
            </w:r>
          </w:p>
        </w:tc>
        <w:tc>
          <w:tcPr>
            <w:tcW w:w="5820" w:type="dxa"/>
            <w:vAlign w:val="bottom"/>
          </w:tcPr>
          <w:p>
            <w:pPr>
              <w:ind w:left="2560"/>
              <w:spacing w:after="0"/>
              <w:rPr>
                <w:sz w:val="20"/>
                <w:szCs w:val="20"/>
                <w:color w:val="auto"/>
              </w:rPr>
            </w:pPr>
            <w:r>
              <w:rPr>
                <w:rFonts w:ascii="Arial" w:cs="Arial" w:eastAsia="Arial" w:hAnsi="Arial"/>
                <w:sz w:val="13"/>
                <w:szCs w:val="13"/>
                <w:b w:val="1"/>
                <w:bCs w:val="1"/>
                <w:color w:val="auto"/>
              </w:rPr>
              <w:t>Description</w:t>
            </w:r>
          </w:p>
        </w:tc>
      </w:tr>
      <w:tr>
        <w:trPr>
          <w:trHeight w:val="22"/>
        </w:trPr>
        <w:tc>
          <w:tcPr>
            <w:tcW w:w="2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r>
      <w:tr>
        <w:trPr>
          <w:trHeight w:val="173"/>
        </w:trPr>
        <w:tc>
          <w:tcPr>
            <w:tcW w:w="232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Mid-Atlantic</w:t>
            </w:r>
          </w:p>
        </w:tc>
        <w:tc>
          <w:tcPr>
            <w:tcW w:w="240" w:type="dxa"/>
            <w:vAlign w:val="bottom"/>
            <w:shd w:val="clear" w:color="auto" w:fill="CCEEFF"/>
          </w:tcPr>
          <w:p>
            <w:pPr>
              <w:jc w:val="right"/>
              <w:ind w:right="59"/>
              <w:spacing w:after="0" w:line="174"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line="174" w:lineRule="exact"/>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10.9 %</w:t>
            </w:r>
          </w:p>
        </w:tc>
        <w:tc>
          <w:tcPr>
            <w:tcW w:w="120" w:type="dxa"/>
            <w:vAlign w:val="bottom"/>
            <w:shd w:val="clear" w:color="auto" w:fill="CCEEFF"/>
          </w:tcPr>
          <w:p>
            <w:pPr>
              <w:spacing w:after="0"/>
              <w:rPr>
                <w:sz w:val="15"/>
                <w:szCs w:val="15"/>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favorable retail load revenue of $315 primarily due to higher contracted energy prices</w:t>
            </w:r>
          </w:p>
        </w:tc>
      </w:tr>
      <w:tr>
        <w:trPr>
          <w:trHeight w:val="176"/>
        </w:trPr>
        <w:tc>
          <w:tcPr>
            <w:tcW w:w="2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favorable wholesale load revenue of $100 primarily due to higher contracted energy</w:t>
            </w:r>
          </w:p>
        </w:tc>
      </w:tr>
      <w:tr>
        <w:trPr>
          <w:trHeight w:val="175"/>
        </w:trPr>
        <w:tc>
          <w:tcPr>
            <w:tcW w:w="2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prices, partially offset by lower load volumes; partially offset by</w:t>
            </w:r>
          </w:p>
        </w:tc>
      </w:tr>
      <w:tr>
        <w:trPr>
          <w:trHeight w:val="175"/>
        </w:trPr>
        <w:tc>
          <w:tcPr>
            <w:tcW w:w="2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unfavorable realized economic hedges of $215 due to settled prices relative to hedged</w:t>
            </w:r>
          </w:p>
        </w:tc>
      </w:tr>
      <w:tr>
        <w:trPr>
          <w:trHeight w:val="192"/>
        </w:trPr>
        <w:tc>
          <w:tcPr>
            <w:tcW w:w="23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prices</w:t>
            </w:r>
          </w:p>
        </w:tc>
      </w:tr>
      <w:tr>
        <w:trPr>
          <w:trHeight w:val="180"/>
        </w:trPr>
        <w:tc>
          <w:tcPr>
            <w:tcW w:w="2320" w:type="dxa"/>
            <w:vAlign w:val="bottom"/>
          </w:tcPr>
          <w:p>
            <w:pPr>
              <w:ind w:left="20"/>
              <w:spacing w:after="0" w:line="180" w:lineRule="exact"/>
              <w:rPr>
                <w:sz w:val="20"/>
                <w:szCs w:val="20"/>
                <w:color w:val="auto"/>
              </w:rPr>
            </w:pPr>
            <w:r>
              <w:rPr>
                <w:rFonts w:ascii="Arial" w:cs="Arial" w:eastAsia="Arial" w:hAnsi="Arial"/>
                <w:sz w:val="16"/>
                <w:szCs w:val="16"/>
                <w:color w:val="auto"/>
              </w:rPr>
              <w:t>Midwest</w:t>
            </w:r>
          </w:p>
        </w:tc>
        <w:tc>
          <w:tcPr>
            <w:tcW w:w="240" w:type="dxa"/>
            <w:vAlign w:val="bottom"/>
          </w:tcPr>
          <w:p>
            <w:pPr>
              <w:spacing w:after="0"/>
              <w:rPr>
                <w:sz w:val="15"/>
                <w:szCs w:val="15"/>
                <w:color w:val="auto"/>
              </w:rPr>
            </w:pPr>
          </w:p>
        </w:tc>
        <w:tc>
          <w:tcPr>
            <w:tcW w:w="1120" w:type="dxa"/>
            <w:vAlign w:val="bottom"/>
          </w:tcPr>
          <w:p>
            <w:pPr>
              <w:jc w:val="right"/>
              <w:ind w:right="4"/>
              <w:spacing w:after="0" w:line="180" w:lineRule="exact"/>
              <w:rPr>
                <w:sz w:val="20"/>
                <w:szCs w:val="20"/>
                <w:color w:val="auto"/>
              </w:rPr>
            </w:pPr>
            <w:r>
              <w:rPr>
                <w:rFonts w:ascii="Arial" w:cs="Arial" w:eastAsia="Arial" w:hAnsi="Arial"/>
                <w:sz w:val="16"/>
                <w:szCs w:val="16"/>
                <w:color w:val="auto"/>
              </w:rPr>
              <w:t>328</w:t>
            </w:r>
          </w:p>
        </w:tc>
        <w:tc>
          <w:tcPr>
            <w:tcW w:w="12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Arial" w:cs="Arial" w:eastAsia="Arial" w:hAnsi="Arial"/>
                <w:sz w:val="16"/>
                <w:szCs w:val="16"/>
                <w:color w:val="auto"/>
              </w:rPr>
              <w:t>23.4 %</w:t>
            </w:r>
          </w:p>
        </w:tc>
        <w:tc>
          <w:tcPr>
            <w:tcW w:w="120" w:type="dxa"/>
            <w:vAlign w:val="bottom"/>
          </w:tcPr>
          <w:p>
            <w:pPr>
              <w:spacing w:after="0"/>
              <w:rPr>
                <w:sz w:val="15"/>
                <w:szCs w:val="15"/>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 favorable net generation and wholesale load revenue of $370 primarily due to higher</w:t>
            </w:r>
          </w:p>
        </w:tc>
      </w:tr>
      <w:tr>
        <w:trPr>
          <w:trHeight w:val="175"/>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energy prices and higher load volumes, partially offset by lower generation volumes</w:t>
            </w:r>
          </w:p>
        </w:tc>
      </w:tr>
      <w:tr>
        <w:trPr>
          <w:trHeight w:val="175"/>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 favorable retail load revenue of $210 primarily due to higher contracted energy prices</w:t>
            </w:r>
          </w:p>
        </w:tc>
      </w:tr>
      <w:tr>
        <w:trPr>
          <w:trHeight w:val="175"/>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 favorable net capacity revenue of $90 primarily due to higher prices; partially offset by</w:t>
            </w:r>
          </w:p>
        </w:tc>
      </w:tr>
      <w:tr>
        <w:trPr>
          <w:trHeight w:val="175"/>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 unfavorable CMC program revenue of $350 primarily due to higher energy and capacity</w:t>
            </w:r>
          </w:p>
        </w:tc>
      </w:tr>
      <w:tr>
        <w:trPr>
          <w:trHeight w:val="190"/>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prices</w:t>
            </w:r>
          </w:p>
        </w:tc>
      </w:tr>
      <w:tr>
        <w:trPr>
          <w:trHeight w:val="22"/>
        </w:trPr>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180"/>
        </w:trPr>
        <w:tc>
          <w:tcPr>
            <w:tcW w:w="232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New York</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
              <w:spacing w:after="0" w:line="180" w:lineRule="exact"/>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15"/>
                <w:szCs w:val="15"/>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favorable net generation revenue of $100 associated with the sale of generation volumes</w:t>
            </w:r>
          </w:p>
        </w:tc>
      </w:tr>
      <w:tr>
        <w:trPr>
          <w:trHeight w:val="175"/>
        </w:trPr>
        <w:tc>
          <w:tcPr>
            <w:tcW w:w="2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relative to purchased power to supply load primarily due to higher energy prices; partially</w:t>
            </w:r>
          </w:p>
        </w:tc>
      </w:tr>
      <w:tr>
        <w:trPr>
          <w:trHeight w:val="175"/>
        </w:trPr>
        <w:tc>
          <w:tcPr>
            <w:tcW w:w="2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offset by</w:t>
            </w:r>
          </w:p>
        </w:tc>
      </w:tr>
      <w:tr>
        <w:trPr>
          <w:trHeight w:val="175"/>
        </w:trPr>
        <w:tc>
          <w:tcPr>
            <w:tcW w:w="2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unfavorable realized economic hedges of $95 due to settled prices relative to hedged</w:t>
            </w:r>
          </w:p>
        </w:tc>
      </w:tr>
      <w:tr>
        <w:trPr>
          <w:trHeight w:val="192"/>
        </w:trPr>
        <w:tc>
          <w:tcPr>
            <w:tcW w:w="23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prices</w:t>
            </w:r>
          </w:p>
        </w:tc>
      </w:tr>
      <w:tr>
        <w:trPr>
          <w:trHeight w:val="235"/>
        </w:trPr>
        <w:tc>
          <w:tcPr>
            <w:tcW w:w="2320" w:type="dxa"/>
            <w:vAlign w:val="bottom"/>
          </w:tcPr>
          <w:p>
            <w:pPr>
              <w:ind w:left="20"/>
              <w:spacing w:after="0"/>
              <w:rPr>
                <w:sz w:val="20"/>
                <w:szCs w:val="20"/>
                <w:color w:val="auto"/>
              </w:rPr>
            </w:pPr>
            <w:r>
              <w:rPr>
                <w:rFonts w:ascii="Arial" w:cs="Arial" w:eastAsia="Arial" w:hAnsi="Arial"/>
                <w:sz w:val="16"/>
                <w:szCs w:val="16"/>
                <w:color w:val="auto"/>
              </w:rPr>
              <w:t>ERCOT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 no individually significant drivers</w:t>
            </w: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6"/>
                <w:szCs w:val="16"/>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unfavorable wholesale load revenue of $125 primarily due to lower load volumes in New</w:t>
            </w:r>
          </w:p>
        </w:tc>
      </w:tr>
      <w:tr>
        <w:trPr>
          <w:trHeight w:val="205"/>
        </w:trPr>
        <w:tc>
          <w:tcPr>
            <w:tcW w:w="2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England</w:t>
            </w:r>
          </w:p>
        </w:tc>
      </w:tr>
      <w:tr>
        <w:trPr>
          <w:trHeight w:val="180"/>
        </w:trPr>
        <w:tc>
          <w:tcPr>
            <w:tcW w:w="2320" w:type="dxa"/>
            <w:vAlign w:val="bottom"/>
          </w:tcPr>
          <w:p>
            <w:pPr>
              <w:ind w:left="20"/>
              <w:spacing w:after="0" w:line="180" w:lineRule="exact"/>
              <w:rPr>
                <w:sz w:val="20"/>
                <w:szCs w:val="20"/>
                <w:color w:val="auto"/>
              </w:rPr>
            </w:pPr>
            <w:r>
              <w:rPr>
                <w:rFonts w:ascii="Arial" w:cs="Arial" w:eastAsia="Arial" w:hAnsi="Arial"/>
                <w:sz w:val="16"/>
                <w:szCs w:val="16"/>
                <w:color w:val="auto"/>
              </w:rPr>
              <w:t>Calpine</w:t>
            </w:r>
          </w:p>
        </w:tc>
        <w:tc>
          <w:tcPr>
            <w:tcW w:w="240" w:type="dxa"/>
            <w:vAlign w:val="bottom"/>
          </w:tcPr>
          <w:p>
            <w:pPr>
              <w:spacing w:after="0"/>
              <w:rPr>
                <w:sz w:val="15"/>
                <w:szCs w:val="15"/>
                <w:color w:val="auto"/>
              </w:rPr>
            </w:pPr>
          </w:p>
        </w:tc>
        <w:tc>
          <w:tcPr>
            <w:tcW w:w="1120" w:type="dxa"/>
            <w:vAlign w:val="bottom"/>
          </w:tcPr>
          <w:p>
            <w:pPr>
              <w:jc w:val="right"/>
              <w:ind w:right="4"/>
              <w:spacing w:after="0" w:line="180" w:lineRule="exact"/>
              <w:rPr>
                <w:sz w:val="20"/>
                <w:szCs w:val="20"/>
                <w:color w:val="auto"/>
              </w:rPr>
            </w:pPr>
            <w:r>
              <w:rPr>
                <w:rFonts w:ascii="Arial" w:cs="Arial" w:eastAsia="Arial" w:hAnsi="Arial"/>
                <w:sz w:val="16"/>
                <w:szCs w:val="16"/>
                <w:color w:val="auto"/>
              </w:rPr>
              <w:t>2,395</w:t>
            </w:r>
          </w:p>
        </w:tc>
        <w:tc>
          <w:tcPr>
            <w:tcW w:w="12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Arial" w:cs="Arial" w:eastAsia="Arial" w:hAnsi="Arial"/>
                <w:sz w:val="16"/>
                <w:szCs w:val="16"/>
                <w:color w:val="auto"/>
              </w:rPr>
              <w:t>100.0 %</w:t>
            </w:r>
          </w:p>
        </w:tc>
        <w:tc>
          <w:tcPr>
            <w:tcW w:w="120" w:type="dxa"/>
            <w:vAlign w:val="bottom"/>
          </w:tcPr>
          <w:p>
            <w:pPr>
              <w:spacing w:after="0"/>
              <w:rPr>
                <w:sz w:val="15"/>
                <w:szCs w:val="15"/>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 represents the operating revenues associated with our Calpine segment since the date of</w:t>
            </w:r>
          </w:p>
        </w:tc>
      </w:tr>
      <w:tr>
        <w:trPr>
          <w:trHeight w:val="190"/>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20" w:type="dxa"/>
            <w:vAlign w:val="bottom"/>
          </w:tcPr>
          <w:p>
            <w:pPr>
              <w:ind w:left="20"/>
              <w:spacing w:after="0"/>
              <w:rPr>
                <w:sz w:val="20"/>
                <w:szCs w:val="20"/>
                <w:color w:val="auto"/>
              </w:rPr>
            </w:pPr>
            <w:r>
              <w:rPr>
                <w:rFonts w:ascii="Arial" w:cs="Arial" w:eastAsia="Arial" w:hAnsi="Arial"/>
                <w:sz w:val="14"/>
                <w:szCs w:val="14"/>
                <w:color w:val="auto"/>
              </w:rPr>
              <w:t>acquisition</w:t>
            </w:r>
          </w:p>
        </w:tc>
      </w:tr>
      <w:tr>
        <w:trPr>
          <w:trHeight w:val="843"/>
        </w:trPr>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auto"/>
              </w:rPr>
              <w:t>60</w:t>
            </w:r>
          </w:p>
        </w:tc>
      </w:tr>
      <w:tr>
        <w:trPr>
          <w:trHeight w:val="846"/>
        </w:trPr>
        <w:tc>
          <w:tcPr>
            <w:tcW w:w="2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5800" w:type="dxa"/>
            <w:vAlign w:val="bottom"/>
          </w:tcPr>
          <w:p>
            <w:pPr>
              <w:spacing w:after="0"/>
              <w:rPr>
                <w:sz w:val="15"/>
                <w:szCs w:val="15"/>
                <w:color w:val="auto"/>
              </w:rPr>
            </w:pPr>
          </w:p>
        </w:tc>
      </w:tr>
      <w:tr>
        <w:trPr>
          <w:trHeight w:val="181"/>
        </w:trPr>
        <w:tc>
          <w:tcPr>
            <w:tcW w:w="2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3"/>
                <w:szCs w:val="13"/>
                <w:b w:val="1"/>
                <w:bCs w:val="1"/>
                <w:color w:val="auto"/>
              </w:rPr>
              <w:t>$ Change</w:t>
            </w:r>
          </w:p>
        </w:tc>
        <w:tc>
          <w:tcPr>
            <w:tcW w:w="1500" w:type="dxa"/>
            <w:vAlign w:val="bottom"/>
          </w:tcPr>
          <w:p>
            <w:pPr>
              <w:jc w:val="right"/>
              <w:ind w:right="385"/>
              <w:spacing w:after="0"/>
              <w:rPr>
                <w:sz w:val="20"/>
                <w:szCs w:val="20"/>
                <w:color w:val="auto"/>
              </w:rPr>
            </w:pPr>
            <w:r>
              <w:rPr>
                <w:rFonts w:ascii="Arial" w:cs="Arial" w:eastAsia="Arial" w:hAnsi="Arial"/>
                <w:sz w:val="13"/>
                <w:szCs w:val="13"/>
                <w:b w:val="1"/>
                <w:bCs w:val="1"/>
                <w:color w:val="auto"/>
              </w:rPr>
              <w:t>% Change</w:t>
            </w:r>
          </w:p>
        </w:tc>
        <w:tc>
          <w:tcPr>
            <w:tcW w:w="120" w:type="dxa"/>
            <w:vAlign w:val="bottom"/>
          </w:tcPr>
          <w:p>
            <w:pPr>
              <w:spacing w:after="0"/>
              <w:rPr>
                <w:sz w:val="15"/>
                <w:szCs w:val="15"/>
                <w:color w:val="auto"/>
              </w:rPr>
            </w:pPr>
          </w:p>
        </w:tc>
        <w:tc>
          <w:tcPr>
            <w:tcW w:w="5800" w:type="dxa"/>
            <w:vAlign w:val="bottom"/>
          </w:tcPr>
          <w:p>
            <w:pPr>
              <w:ind w:left="2560"/>
              <w:spacing w:after="0"/>
              <w:rPr>
                <w:sz w:val="20"/>
                <w:szCs w:val="20"/>
                <w:color w:val="auto"/>
              </w:rPr>
            </w:pPr>
            <w:r>
              <w:rPr>
                <w:rFonts w:ascii="Arial" w:cs="Arial" w:eastAsia="Arial" w:hAnsi="Arial"/>
                <w:sz w:val="13"/>
                <w:szCs w:val="13"/>
                <w:b w:val="1"/>
                <w:bCs w:val="1"/>
                <w:color w:val="auto"/>
              </w:rPr>
              <w:t>Description</w:t>
            </w:r>
          </w:p>
        </w:tc>
      </w:tr>
      <w:tr>
        <w:trPr>
          <w:trHeight w:val="22"/>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r>
      <w:tr>
        <w:trPr>
          <w:trHeight w:val="187"/>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6"/>
                <w:szCs w:val="16"/>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current year includes unfavorable amortization associated with certain commodity</w:t>
            </w:r>
          </w:p>
        </w:tc>
      </w:tr>
      <w:tr>
        <w:trPr>
          <w:trHeight w:val="176"/>
        </w:trPr>
        <w:tc>
          <w:tcPr>
            <w:tcW w:w="2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contracts related to the Calpine acquisition of $215; partially offset by</w:t>
            </w:r>
          </w:p>
        </w:tc>
      </w:tr>
      <w:tr>
        <w:trPr>
          <w:trHeight w:val="198"/>
        </w:trPr>
        <w:tc>
          <w:tcPr>
            <w:tcW w:w="2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favorable retail gas revenue of $165 primarily due to higher gas prices</w:t>
            </w:r>
          </w:p>
        </w:tc>
      </w:tr>
      <w:tr>
        <w:trPr>
          <w:trHeight w:val="193"/>
        </w:trPr>
        <w:tc>
          <w:tcPr>
            <w:tcW w:w="2320" w:type="dxa"/>
            <w:vAlign w:val="bottom"/>
          </w:tcPr>
          <w:p>
            <w:pPr>
              <w:ind w:left="20"/>
              <w:spacing w:after="0" w:line="194" w:lineRule="exact"/>
              <w:rPr>
                <w:sz w:val="20"/>
                <w:szCs w:val="20"/>
                <w:color w:val="auto"/>
              </w:rPr>
            </w:pPr>
            <w:r>
              <w:rPr>
                <w:rFonts w:ascii="Arial" w:cs="Arial" w:eastAsia="Arial" w:hAnsi="Arial"/>
                <w:sz w:val="16"/>
                <w:szCs w:val="16"/>
                <w:color w:val="auto"/>
              </w:rPr>
              <w:t>Unrealized gains or losses</w:t>
            </w:r>
            <w:r>
              <w:rPr>
                <w:rFonts w:ascii="Arial" w:cs="Arial" w:eastAsia="Arial" w:hAnsi="Arial"/>
                <w:sz w:val="21"/>
                <w:szCs w:val="21"/>
                <w:color w:val="auto"/>
                <w:vertAlign w:val="superscript"/>
              </w:rPr>
              <w:t>(a)(b)</w:t>
            </w:r>
          </w:p>
        </w:tc>
        <w:tc>
          <w:tcPr>
            <w:tcW w:w="2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6"/>
                <w:szCs w:val="16"/>
                <w:color w:val="auto"/>
              </w:rPr>
              <w:t>1,602</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 gains on economic hedging activities of $1,315 in 2026 compared to losses of $287 in</w:t>
            </w:r>
          </w:p>
        </w:tc>
      </w:tr>
      <w:tr>
        <w:trPr>
          <w:trHeight w:val="190"/>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2025, inclusive of Calpine</w:t>
            </w:r>
          </w:p>
        </w:tc>
      </w:tr>
      <w:tr>
        <w:trPr>
          <w:trHeight w:val="22"/>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r>
      <w:tr>
        <w:trPr>
          <w:trHeight w:val="262"/>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4,334</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63.8 %</w:t>
            </w:r>
          </w:p>
        </w:tc>
        <w:tc>
          <w:tcPr>
            <w:tcW w:w="120" w:type="dxa"/>
            <w:vAlign w:val="bottom"/>
            <w:tcBorders>
              <w:bottom w:val="single" w:sz="8" w:color="CCEEFF"/>
            </w:tcBorders>
            <w:shd w:val="clear" w:color="auto" w:fill="CCEEFF"/>
          </w:tcPr>
          <w:p>
            <w:pPr>
              <w:spacing w:after="0"/>
              <w:rPr>
                <w:sz w:val="22"/>
                <w:szCs w:val="22"/>
                <w:color w:val="auto"/>
              </w:rPr>
            </w:pPr>
          </w:p>
        </w:tc>
        <w:tc>
          <w:tcPr>
            <w:tcW w:w="5800" w:type="dxa"/>
            <w:vAlign w:val="bottom"/>
            <w:tcBorders>
              <w:bottom w:val="single" w:sz="8" w:color="CCEEFF"/>
            </w:tcBorders>
            <w:shd w:val="clear" w:color="auto" w:fill="CCEEFF"/>
          </w:tcPr>
          <w:p>
            <w:pPr>
              <w:spacing w:after="0"/>
              <w:rPr>
                <w:sz w:val="22"/>
                <w:szCs w:val="22"/>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Change in unrealized gains or losses is not a meaningful measure.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See Note 12 — Derivative Financial Instruments of the Combined Notes to Consolidated Financial Statements for additional information on unrealized gains and losses.</w:t>
      </w:r>
    </w:p>
    <w:p>
      <w:pPr>
        <w:spacing w:after="0" w:line="158"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i w:val="1"/>
          <w:iCs w:val="1"/>
          <w:color w:val="auto"/>
        </w:rPr>
        <w:t xml:space="preserve">Purchased power and fuel. </w:t>
      </w:r>
      <w:r>
        <w:rPr>
          <w:rFonts w:ascii="Arial" w:cs="Arial" w:eastAsia="Arial" w:hAnsi="Arial"/>
          <w:sz w:val="16"/>
          <w:szCs w:val="16"/>
          <w:color w:val="auto"/>
        </w:rPr>
        <w:t>See Operating revenues above for discussion of our reportable segments and hedging strategies and for supplemental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statistical data, including sales and supply sources by segment, nuclear fleet capacity factor, EFOF, capacity prices, and electricity prices.</w:t>
      </w:r>
    </w:p>
    <w:p>
      <w:pPr>
        <w:spacing w:after="0" w:line="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 the exception of Calpine's natural gas activity, which is included in the Calpine segment, wholesale and retail natural gas activity, as well as other miscellaneous business activities that are not significant to overall results of operations are reported under Other and are not allocated to a segment.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2026 compared to 2025, Purchased power and fuel expense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236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1380" w:type="dxa"/>
            <w:vAlign w:val="bottom"/>
            <w:vMerge w:val="restart"/>
          </w:tcPr>
          <w:p>
            <w:pPr>
              <w:jc w:val="right"/>
              <w:ind w:right="301"/>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5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1,035</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0" w:type="dxa"/>
            <w:vAlign w:val="bottom"/>
          </w:tcPr>
          <w:p>
            <w:pPr>
              <w:spacing w:after="0"/>
              <w:rPr>
                <w:sz w:val="1"/>
                <w:szCs w:val="1"/>
                <w:color w:val="auto"/>
              </w:rPr>
            </w:pPr>
          </w:p>
        </w:tc>
      </w:tr>
      <w:tr>
        <w:trPr>
          <w:trHeight w:val="235"/>
        </w:trPr>
        <w:tc>
          <w:tcPr>
            <w:tcW w:w="5520" w:type="dxa"/>
            <w:vAlign w:val="bottom"/>
          </w:tcPr>
          <w:p>
            <w:pPr>
              <w:ind w:left="20"/>
              <w:spacing w:after="0"/>
              <w:rPr>
                <w:sz w:val="20"/>
                <w:szCs w:val="20"/>
                <w:color w:val="auto"/>
              </w:rPr>
            </w:pPr>
            <w:r>
              <w:rPr>
                <w:rFonts w:ascii="Arial" w:cs="Arial" w:eastAsia="Arial" w:hAnsi="Arial"/>
                <w:sz w:val="16"/>
                <w:szCs w:val="16"/>
                <w:color w:val="auto"/>
              </w:rPr>
              <w:t>Midwest</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58.5 %</w:t>
            </w:r>
          </w:p>
        </w:tc>
        <w:tc>
          <w:tcPr>
            <w:tcW w:w="0" w:type="dxa"/>
            <w:vAlign w:val="bottom"/>
          </w:tcPr>
          <w:p>
            <w:pPr>
              <w:spacing w:after="0"/>
              <w:rPr>
                <w:sz w:val="1"/>
                <w:szCs w:val="1"/>
                <w:color w:val="auto"/>
              </w:rPr>
            </w:pPr>
          </w:p>
        </w:tc>
      </w:tr>
      <w:tr>
        <w:trPr>
          <w:trHeight w:val="25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5"/>
        </w:trPr>
        <w:tc>
          <w:tcPr>
            <w:tcW w:w="5520" w:type="dxa"/>
            <w:vAlign w:val="bottom"/>
          </w:tcPr>
          <w:p>
            <w:pPr>
              <w:ind w:left="20"/>
              <w:spacing w:after="0"/>
              <w:rPr>
                <w:sz w:val="20"/>
                <w:szCs w:val="20"/>
                <w:color w:val="auto"/>
              </w:rPr>
            </w:pPr>
            <w:r>
              <w:rPr>
                <w:rFonts w:ascii="Arial" w:cs="Arial" w:eastAsia="Arial" w:hAnsi="Arial"/>
                <w:sz w:val="16"/>
                <w:szCs w:val="16"/>
                <w:color w:val="auto"/>
              </w:rPr>
              <w:t>ERCOT</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5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1,220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1,362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Calpine</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1,269</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4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segment purchased power and fuel</w:t>
            </w:r>
          </w:p>
        </w:tc>
        <w:tc>
          <w:tcPr>
            <w:tcW w:w="8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4,723</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3,117</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1,606</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51.5 %</w:t>
            </w:r>
          </w:p>
        </w:tc>
        <w:tc>
          <w:tcPr>
            <w:tcW w:w="0" w:type="dxa"/>
            <w:vAlign w:val="bottom"/>
          </w:tcPr>
          <w:p>
            <w:pPr>
              <w:spacing w:after="0"/>
              <w:rPr>
                <w:sz w:val="1"/>
                <w:szCs w:val="1"/>
                <w:color w:val="auto"/>
              </w:rPr>
            </w:pPr>
          </w:p>
        </w:tc>
      </w:tr>
      <w:tr>
        <w:trPr>
          <w:trHeight w:val="235"/>
        </w:trPr>
        <w:tc>
          <w:tcPr>
            <w:tcW w:w="5520" w:type="dxa"/>
            <w:vAlign w:val="bottom"/>
          </w:tcPr>
          <w:p>
            <w:pPr>
              <w:ind w:left="20"/>
              <w:spacing w:after="0"/>
              <w:rPr>
                <w:sz w:val="20"/>
                <w:szCs w:val="20"/>
                <w:color w:val="auto"/>
              </w:rPr>
            </w:pPr>
            <w:r>
              <w:rPr>
                <w:rFonts w:ascii="Arial" w:cs="Arial" w:eastAsia="Arial" w:hAnsi="Arial"/>
                <w:sz w:val="16"/>
                <w:szCs w:val="16"/>
                <w:color w:val="auto"/>
              </w:rPr>
              <w:t>Other</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1,375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1,233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5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losses (gains)</w:t>
            </w:r>
            <w:r>
              <w:rPr>
                <w:rFonts w:ascii="Arial" w:cs="Arial" w:eastAsia="Arial" w:hAnsi="Arial"/>
                <w:sz w:val="21"/>
                <w:szCs w:val="21"/>
                <w:color w:val="auto"/>
                <w:vertAlign w:val="superscript"/>
              </w:rPr>
              <w:t>(a)</w:t>
            </w:r>
          </w:p>
        </w:tc>
        <w:tc>
          <w:tcPr>
            <w:tcW w:w="8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6"/>
                <w:szCs w:val="16"/>
                <w:color w:val="auto"/>
              </w:rPr>
              <w:t>Total purchased power and fuel</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6,352</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70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4,384</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1,968</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 Change in unrealized losses (gains) is not a meaningful measure.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Natural Gas Prices. </w:t>
      </w:r>
      <w:r>
        <w:rPr>
          <w:rFonts w:ascii="Arial" w:cs="Arial" w:eastAsia="Arial" w:hAnsi="Arial"/>
          <w:sz w:val="16"/>
          <w:szCs w:val="16"/>
          <w:color w:val="auto"/>
        </w:rPr>
        <w:t>As an owner-operator of a large fleet of natural gas generation facilities, the cost of our natural gas supply has a significant impact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Purchased power and fuel expense. The following table summarizes the average daily reference price ($/MMBtu) for the periods presented in each geographic region where we have significant activity. This does not reflect prices we ultimately realized.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
        </w:trPr>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2"/>
        </w:trPr>
        <w:tc>
          <w:tcPr>
            <w:tcW w:w="5520" w:type="dxa"/>
            <w:vAlign w:val="bottom"/>
          </w:tcPr>
          <w:p>
            <w:pPr>
              <w:ind w:left="20"/>
              <w:spacing w:after="0"/>
              <w:rPr>
                <w:sz w:val="20"/>
                <w:szCs w:val="20"/>
                <w:color w:val="auto"/>
              </w:rPr>
            </w:pPr>
            <w:r>
              <w:rPr>
                <w:rFonts w:ascii="Arial" w:cs="Arial" w:eastAsia="Arial" w:hAnsi="Arial"/>
                <w:sz w:val="13"/>
                <w:szCs w:val="13"/>
                <w:b w:val="1"/>
                <w:bCs w:val="1"/>
                <w:color w:val="auto"/>
              </w:rPr>
              <w:t>Location</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 Change</w:t>
            </w:r>
          </w:p>
        </w:tc>
        <w:tc>
          <w:tcPr>
            <w:tcW w:w="1380" w:type="dxa"/>
            <w:vAlign w:val="bottom"/>
          </w:tcPr>
          <w:p>
            <w:pPr>
              <w:jc w:val="right"/>
              <w:ind w:right="302"/>
              <w:spacing w:after="0"/>
              <w:rPr>
                <w:sz w:val="20"/>
                <w:szCs w:val="20"/>
                <w:color w:val="auto"/>
              </w:rPr>
            </w:pPr>
            <w:r>
              <w:rPr>
                <w:rFonts w:ascii="Arial" w:cs="Arial" w:eastAsia="Arial" w:hAnsi="Arial"/>
                <w:sz w:val="13"/>
                <w:szCs w:val="13"/>
                <w:b w:val="1"/>
                <w:bCs w:val="1"/>
                <w:color w:val="auto"/>
              </w:rPr>
              <w:t>% Change</w:t>
            </w:r>
          </w:p>
        </w:tc>
      </w:tr>
      <w:tr>
        <w:trPr>
          <w:trHeight w:val="240"/>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Henry Hub</w:t>
            </w:r>
          </w:p>
        </w:tc>
        <w:tc>
          <w:tcPr>
            <w:tcW w:w="860" w:type="dxa"/>
            <w:vAlign w:val="bottom"/>
            <w:tcBorders>
              <w:top w:val="single" w:sz="8" w:color="auto"/>
            </w:tcBorders>
            <w:shd w:val="clear" w:color="auto" w:fill="CCEEFF"/>
          </w:tcPr>
          <w:p>
            <w:pPr>
              <w:jc w:val="right"/>
              <w:ind w:right="671"/>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center"/>
              <w:ind w:left="482"/>
              <w:spacing w:after="0"/>
              <w:rPr>
                <w:sz w:val="20"/>
                <w:szCs w:val="20"/>
                <w:color w:val="auto"/>
              </w:rPr>
            </w:pPr>
            <w:r>
              <w:rPr>
                <w:rFonts w:ascii="Arial" w:cs="Arial" w:eastAsia="Arial" w:hAnsi="Arial"/>
                <w:sz w:val="16"/>
                <w:szCs w:val="16"/>
                <w:color w:val="auto"/>
                <w:w w:val="96"/>
              </w:rPr>
              <w:t>0.62</w:t>
            </w:r>
          </w:p>
        </w:tc>
        <w:tc>
          <w:tcPr>
            <w:tcW w:w="12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14.5 %</w:t>
            </w:r>
          </w:p>
        </w:tc>
      </w:tr>
      <w:tr>
        <w:trPr>
          <w:trHeight w:val="243"/>
        </w:trPr>
        <w:tc>
          <w:tcPr>
            <w:tcW w:w="5520" w:type="dxa"/>
            <w:vAlign w:val="bottom"/>
          </w:tcPr>
          <w:p>
            <w:pPr>
              <w:ind w:left="20"/>
              <w:spacing w:after="0"/>
              <w:rPr>
                <w:sz w:val="20"/>
                <w:szCs w:val="20"/>
                <w:color w:val="auto"/>
              </w:rPr>
            </w:pPr>
            <w:r>
              <w:rPr>
                <w:rFonts w:ascii="Arial" w:cs="Arial" w:eastAsia="Arial" w:hAnsi="Arial"/>
                <w:sz w:val="16"/>
                <w:szCs w:val="16"/>
                <w:color w:val="auto"/>
              </w:rPr>
              <w:t>Transco Zone 6</w:t>
            </w:r>
            <w:r>
              <w:rPr>
                <w:rFonts w:ascii="Arial" w:cs="Arial" w:eastAsia="Arial" w:hAnsi="Arial"/>
                <w:sz w:val="21"/>
                <w:szCs w:val="21"/>
                <w:color w:val="auto"/>
                <w:vertAlign w:val="superscript"/>
              </w:rPr>
              <w:t>(a)</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center"/>
              <w:ind w:left="482"/>
              <w:spacing w:after="0"/>
              <w:rPr>
                <w:sz w:val="20"/>
                <w:szCs w:val="20"/>
                <w:color w:val="auto"/>
              </w:rPr>
            </w:pPr>
            <w:r>
              <w:rPr>
                <w:rFonts w:ascii="Arial" w:cs="Arial" w:eastAsia="Arial" w:hAnsi="Arial"/>
                <w:sz w:val="16"/>
                <w:szCs w:val="16"/>
                <w:color w:val="auto"/>
                <w:w w:val="96"/>
              </w:rPr>
              <w:t>3.42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56.4 %</w:t>
            </w: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Houston Ship Channel</w:t>
            </w:r>
            <w:r>
              <w:rPr>
                <w:rFonts w:ascii="Arial" w:cs="Arial" w:eastAsia="Arial" w:hAnsi="Arial"/>
                <w:sz w:val="21"/>
                <w:szCs w:val="21"/>
                <w:color w:val="auto"/>
                <w:vertAlign w:val="superscript"/>
              </w:rPr>
              <w:t>(b)</w:t>
            </w:r>
          </w:p>
        </w:tc>
        <w:tc>
          <w:tcPr>
            <w:tcW w:w="8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rPr>
              <w:t>(0.20)</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43"/>
        </w:trPr>
        <w:tc>
          <w:tcPr>
            <w:tcW w:w="5520" w:type="dxa"/>
            <w:vAlign w:val="bottom"/>
          </w:tcPr>
          <w:p>
            <w:pPr>
              <w:ind w:left="20"/>
              <w:spacing w:after="0"/>
              <w:rPr>
                <w:sz w:val="20"/>
                <w:szCs w:val="20"/>
                <w:color w:val="auto"/>
              </w:rPr>
            </w:pPr>
            <w:r>
              <w:rPr>
                <w:rFonts w:ascii="Arial" w:cs="Arial" w:eastAsia="Arial" w:hAnsi="Arial"/>
                <w:sz w:val="16"/>
                <w:szCs w:val="16"/>
                <w:color w:val="auto"/>
              </w:rPr>
              <w:t>PG&amp;E Citygate</w:t>
            </w:r>
            <w:r>
              <w:rPr>
                <w:rFonts w:ascii="Arial" w:cs="Arial" w:eastAsia="Arial" w:hAnsi="Arial"/>
                <w:sz w:val="21"/>
                <w:szCs w:val="21"/>
                <w:color w:val="auto"/>
                <w:vertAlign w:val="superscript"/>
              </w:rPr>
              <w:t>(c)</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center"/>
              <w:ind w:left="482"/>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Algonquin Citygate</w:t>
            </w:r>
            <w:r>
              <w:rPr>
                <w:rFonts w:ascii="Arial" w:cs="Arial" w:eastAsia="Arial" w:hAnsi="Arial"/>
                <w:sz w:val="21"/>
                <w:szCs w:val="21"/>
                <w:color w:val="auto"/>
                <w:vertAlign w:val="superscript"/>
              </w:rPr>
              <w:t>(d)</w:t>
            </w:r>
          </w:p>
        </w:tc>
        <w:tc>
          <w:tcPr>
            <w:tcW w:w="8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11.83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96"/>
              </w:rPr>
              <w:t>2.25</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Transcontinental Gas pipeline located in Mid-Atlantic region.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Houston-area pipeline and industrial network located in ERCOT region.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Pacific Gas &amp; Electric Company virtual trading point located in West region.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Algonquin Gas Transmission physical delivery point located in New England region.</w:t>
      </w:r>
    </w:p>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For the three months ended March 31, 2026 compared to 2025, changes in </w:t>
      </w:r>
      <w:r>
        <w:rPr>
          <w:rFonts w:ascii="Arial" w:cs="Arial" w:eastAsia="Arial" w:hAnsi="Arial"/>
          <w:sz w:val="16"/>
          <w:szCs w:val="16"/>
          <w:b w:val="1"/>
          <w:bCs w:val="1"/>
          <w:color w:val="auto"/>
        </w:rPr>
        <w:t>Purchased power and fuel</w:t>
      </w:r>
      <w:r>
        <w:rPr>
          <w:rFonts w:ascii="Arial" w:cs="Arial" w:eastAsia="Arial" w:hAnsi="Arial"/>
          <w:sz w:val="16"/>
          <w:szCs w:val="16"/>
          <w:color w:val="auto"/>
        </w:rPr>
        <w:t xml:space="preserve"> expense by segment were approximately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5800" w:type="dxa"/>
            <w:vAlign w:val="bottom"/>
          </w:tcPr>
          <w:p>
            <w:pPr>
              <w:spacing w:after="0"/>
              <w:rPr>
                <w:sz w:val="15"/>
                <w:szCs w:val="15"/>
                <w:color w:val="auto"/>
              </w:rPr>
            </w:pPr>
          </w:p>
        </w:tc>
      </w:tr>
      <w:tr>
        <w:trPr>
          <w:trHeight w:val="181"/>
        </w:trPr>
        <w:tc>
          <w:tcPr>
            <w:tcW w:w="2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Change</w:t>
            </w:r>
          </w:p>
        </w:tc>
        <w:tc>
          <w:tcPr>
            <w:tcW w:w="1500" w:type="dxa"/>
            <w:vAlign w:val="bottom"/>
          </w:tcPr>
          <w:p>
            <w:pPr>
              <w:jc w:val="right"/>
              <w:ind w:right="381"/>
              <w:spacing w:after="0"/>
              <w:rPr>
                <w:sz w:val="20"/>
                <w:szCs w:val="20"/>
                <w:color w:val="auto"/>
              </w:rPr>
            </w:pPr>
            <w:r>
              <w:rPr>
                <w:rFonts w:ascii="Arial" w:cs="Arial" w:eastAsia="Arial" w:hAnsi="Arial"/>
                <w:sz w:val="13"/>
                <w:szCs w:val="13"/>
                <w:b w:val="1"/>
                <w:bCs w:val="1"/>
                <w:color w:val="auto"/>
              </w:rPr>
              <w:t>% Change</w:t>
            </w:r>
          </w:p>
        </w:tc>
        <w:tc>
          <w:tcPr>
            <w:tcW w:w="120" w:type="dxa"/>
            <w:vAlign w:val="bottom"/>
          </w:tcPr>
          <w:p>
            <w:pPr>
              <w:spacing w:after="0"/>
              <w:rPr>
                <w:sz w:val="15"/>
                <w:szCs w:val="15"/>
                <w:color w:val="auto"/>
              </w:rPr>
            </w:pPr>
          </w:p>
        </w:tc>
        <w:tc>
          <w:tcPr>
            <w:tcW w:w="5800" w:type="dxa"/>
            <w:vAlign w:val="bottom"/>
          </w:tcPr>
          <w:p>
            <w:pPr>
              <w:ind w:left="2560"/>
              <w:spacing w:after="0"/>
              <w:rPr>
                <w:sz w:val="20"/>
                <w:szCs w:val="20"/>
                <w:color w:val="auto"/>
              </w:rPr>
            </w:pPr>
            <w:r>
              <w:rPr>
                <w:rFonts w:ascii="Arial" w:cs="Arial" w:eastAsia="Arial" w:hAnsi="Arial"/>
                <w:sz w:val="13"/>
                <w:szCs w:val="13"/>
                <w:b w:val="1"/>
                <w:bCs w:val="1"/>
                <w:color w:val="auto"/>
              </w:rPr>
              <w:t>Description</w:t>
            </w:r>
          </w:p>
        </w:tc>
      </w:tr>
      <w:tr>
        <w:trPr>
          <w:trHeight w:val="22"/>
        </w:trPr>
        <w:tc>
          <w:tcPr>
            <w:tcW w:w="2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r>
      <w:tr>
        <w:trPr>
          <w:trHeight w:val="187"/>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500" w:type="dxa"/>
            <w:vAlign w:val="bottom"/>
            <w:shd w:val="clear" w:color="auto" w:fill="CCEEFF"/>
          </w:tcPr>
          <w:p>
            <w:pPr>
              <w:jc w:val="right"/>
              <w:ind w:right="305"/>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20" w:type="dxa"/>
            <w:vAlign w:val="bottom"/>
            <w:shd w:val="clear" w:color="auto" w:fill="CCEEFF"/>
          </w:tcPr>
          <w:p>
            <w:pPr>
              <w:spacing w:after="0"/>
              <w:rPr>
                <w:sz w:val="16"/>
                <w:szCs w:val="16"/>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unfavorable $350 associated with purchased power to supply load, net of generation,</w:t>
            </w:r>
          </w:p>
        </w:tc>
      </w:tr>
      <w:tr>
        <w:trPr>
          <w:trHeight w:val="162"/>
        </w:trPr>
        <w:tc>
          <w:tcPr>
            <w:tcW w:w="2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primarily due to higher energy prices, higher prices associated with net capacity costs, and</w:t>
            </w:r>
          </w:p>
        </w:tc>
      </w:tr>
      <w:tr>
        <w:trPr>
          <w:trHeight w:val="175"/>
        </w:trPr>
        <w:tc>
          <w:tcPr>
            <w:tcW w:w="2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higher costs related to a significant weather event in January 2026; partially offset by</w:t>
            </w:r>
          </w:p>
        </w:tc>
      </w:tr>
      <w:tr>
        <w:trPr>
          <w:trHeight w:val="175"/>
        </w:trPr>
        <w:tc>
          <w:tcPr>
            <w:tcW w:w="2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favorable realized economic hedges of $190 due to settled prices relative to hedged</w:t>
            </w:r>
          </w:p>
        </w:tc>
      </w:tr>
      <w:tr>
        <w:trPr>
          <w:trHeight w:val="192"/>
        </w:trPr>
        <w:tc>
          <w:tcPr>
            <w:tcW w:w="23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prices</w:t>
            </w:r>
          </w:p>
        </w:tc>
      </w:tr>
      <w:tr>
        <w:trPr>
          <w:trHeight w:val="193"/>
        </w:trPr>
        <w:tc>
          <w:tcPr>
            <w:tcW w:w="2320" w:type="dxa"/>
            <w:vAlign w:val="bottom"/>
          </w:tcPr>
          <w:p>
            <w:pPr>
              <w:ind w:left="20"/>
              <w:spacing w:after="0"/>
              <w:rPr>
                <w:sz w:val="20"/>
                <w:szCs w:val="20"/>
                <w:color w:val="auto"/>
              </w:rPr>
            </w:pPr>
            <w:r>
              <w:rPr>
                <w:rFonts w:ascii="Arial" w:cs="Arial" w:eastAsia="Arial" w:hAnsi="Arial"/>
                <w:sz w:val="16"/>
                <w:szCs w:val="16"/>
                <w:color w:val="auto"/>
              </w:rPr>
              <w:t>Midwest</w:t>
            </w:r>
          </w:p>
        </w:tc>
        <w:tc>
          <w:tcPr>
            <w:tcW w:w="500" w:type="dxa"/>
            <w:vAlign w:val="bottom"/>
          </w:tcPr>
          <w:p>
            <w:pPr>
              <w:spacing w:after="0"/>
              <w:rPr>
                <w:sz w:val="16"/>
                <w:szCs w:val="16"/>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58.5 %</w:t>
            </w:r>
          </w:p>
        </w:tc>
        <w:tc>
          <w:tcPr>
            <w:tcW w:w="1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 unfavorable $310 associated with purchased power to supply load, net of generation,</w:t>
            </w:r>
          </w:p>
        </w:tc>
      </w:tr>
      <w:tr>
        <w:trPr>
          <w:trHeight w:val="190"/>
        </w:trPr>
        <w:tc>
          <w:tcPr>
            <w:tcW w:w="2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primarily due to higher costs related to a significant weather event in January 2026</w:t>
            </w:r>
          </w:p>
        </w:tc>
      </w:tr>
      <w:tr>
        <w:trPr>
          <w:trHeight w:val="22"/>
        </w:trPr>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1"/>
                <w:szCs w:val="21"/>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no individually significant drivers</w:t>
            </w:r>
          </w:p>
        </w:tc>
      </w:tr>
      <w:tr>
        <w:trPr>
          <w:trHeight w:val="235"/>
        </w:trPr>
        <w:tc>
          <w:tcPr>
            <w:tcW w:w="2320" w:type="dxa"/>
            <w:vAlign w:val="bottom"/>
          </w:tcPr>
          <w:p>
            <w:pPr>
              <w:ind w:left="20"/>
              <w:spacing w:after="0"/>
              <w:rPr>
                <w:sz w:val="20"/>
                <w:szCs w:val="20"/>
                <w:color w:val="auto"/>
              </w:rPr>
            </w:pPr>
            <w:r>
              <w:rPr>
                <w:rFonts w:ascii="Arial" w:cs="Arial" w:eastAsia="Arial" w:hAnsi="Arial"/>
                <w:sz w:val="16"/>
                <w:szCs w:val="16"/>
                <w:color w:val="auto"/>
              </w:rPr>
              <w:t>ERCOT</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 no individually significant drivers</w:t>
            </w:r>
          </w:p>
        </w:tc>
      </w:tr>
      <w:tr>
        <w:trPr>
          <w:trHeight w:val="201"/>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favorable $80 associated with purchased power to supply load primarily due to lower</w:t>
            </w:r>
          </w:p>
        </w:tc>
      </w:tr>
      <w:tr>
        <w:trPr>
          <w:trHeight w:val="192"/>
        </w:trPr>
        <w:tc>
          <w:tcPr>
            <w:tcW w:w="23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energy prices in the West</w:t>
            </w:r>
          </w:p>
        </w:tc>
      </w:tr>
      <w:tr>
        <w:trPr>
          <w:trHeight w:val="193"/>
        </w:trPr>
        <w:tc>
          <w:tcPr>
            <w:tcW w:w="2320" w:type="dxa"/>
            <w:vAlign w:val="bottom"/>
          </w:tcPr>
          <w:p>
            <w:pPr>
              <w:ind w:left="20"/>
              <w:spacing w:after="0"/>
              <w:rPr>
                <w:sz w:val="20"/>
                <w:szCs w:val="20"/>
                <w:color w:val="auto"/>
              </w:rPr>
            </w:pPr>
            <w:r>
              <w:rPr>
                <w:rFonts w:ascii="Arial" w:cs="Arial" w:eastAsia="Arial" w:hAnsi="Arial"/>
                <w:sz w:val="16"/>
                <w:szCs w:val="16"/>
                <w:color w:val="auto"/>
              </w:rPr>
              <w:t>Calpine</w:t>
            </w:r>
          </w:p>
        </w:tc>
        <w:tc>
          <w:tcPr>
            <w:tcW w:w="500" w:type="dxa"/>
            <w:vAlign w:val="bottom"/>
          </w:tcPr>
          <w:p>
            <w:pPr>
              <w:spacing w:after="0"/>
              <w:rPr>
                <w:sz w:val="16"/>
                <w:szCs w:val="16"/>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 represents the purchased power and fuel associated with our Calpine segment since the</w:t>
            </w:r>
          </w:p>
        </w:tc>
      </w:tr>
      <w:tr>
        <w:trPr>
          <w:trHeight w:val="190"/>
        </w:trPr>
        <w:tc>
          <w:tcPr>
            <w:tcW w:w="2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date of acquisition</w:t>
            </w:r>
          </w:p>
        </w:tc>
      </w:tr>
      <w:tr>
        <w:trPr>
          <w:trHeight w:val="22"/>
        </w:trPr>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19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20" w:type="dxa"/>
            <w:vAlign w:val="bottom"/>
            <w:shd w:val="clear" w:color="auto" w:fill="CCEEFF"/>
          </w:tcPr>
          <w:p>
            <w:pPr>
              <w:spacing w:after="0"/>
              <w:rPr>
                <w:sz w:val="16"/>
                <w:szCs w:val="16"/>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unfavorable net wholesale gas purchases, inclusive of realized economic hedges, of</w:t>
            </w:r>
          </w:p>
        </w:tc>
      </w:tr>
      <w:tr>
        <w:trPr>
          <w:trHeight w:val="192"/>
        </w:trPr>
        <w:tc>
          <w:tcPr>
            <w:tcW w:w="23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$175 primarily due to higher gas prices</w:t>
            </w:r>
          </w:p>
        </w:tc>
      </w:tr>
      <w:tr>
        <w:trPr>
          <w:trHeight w:val="193"/>
        </w:trPr>
        <w:tc>
          <w:tcPr>
            <w:tcW w:w="2320" w:type="dxa"/>
            <w:vAlign w:val="bottom"/>
          </w:tcPr>
          <w:p>
            <w:pPr>
              <w:ind w:left="20"/>
              <w:spacing w:after="0" w:line="194" w:lineRule="exact"/>
              <w:rPr>
                <w:sz w:val="20"/>
                <w:szCs w:val="20"/>
                <w:color w:val="auto"/>
              </w:rPr>
            </w:pPr>
            <w:r>
              <w:rPr>
                <w:rFonts w:ascii="Arial" w:cs="Arial" w:eastAsia="Arial" w:hAnsi="Arial"/>
                <w:sz w:val="16"/>
                <w:szCs w:val="16"/>
                <w:color w:val="auto"/>
              </w:rPr>
              <w:t>Unrealized gains or losses</w:t>
            </w:r>
            <w:r>
              <w:rPr>
                <w:rFonts w:ascii="Arial" w:cs="Arial" w:eastAsia="Arial" w:hAnsi="Arial"/>
                <w:sz w:val="21"/>
                <w:szCs w:val="21"/>
                <w:color w:val="auto"/>
                <w:vertAlign w:val="superscript"/>
              </w:rPr>
              <w:t>(a)(b)</w:t>
            </w:r>
          </w:p>
        </w:tc>
        <w:tc>
          <w:tcPr>
            <w:tcW w:w="500" w:type="dxa"/>
            <w:vAlign w:val="bottom"/>
          </w:tcPr>
          <w:p>
            <w:pPr>
              <w:spacing w:after="0"/>
              <w:rPr>
                <w:sz w:val="16"/>
                <w:szCs w:val="16"/>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 losses on economic hedging activities of $254 in 2026 compared to losses of $34 in</w:t>
            </w:r>
          </w:p>
        </w:tc>
      </w:tr>
      <w:tr>
        <w:trPr>
          <w:trHeight w:val="190"/>
        </w:trPr>
        <w:tc>
          <w:tcPr>
            <w:tcW w:w="2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2025, inclusive of Calpine</w:t>
            </w:r>
          </w:p>
        </w:tc>
      </w:tr>
      <w:tr>
        <w:trPr>
          <w:trHeight w:val="22"/>
        </w:trPr>
        <w:tc>
          <w:tcPr>
            <w:tcW w:w="2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r>
      <w:tr>
        <w:trPr>
          <w:trHeight w:val="262"/>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1,968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44.9 %</w:t>
            </w:r>
          </w:p>
        </w:tc>
        <w:tc>
          <w:tcPr>
            <w:tcW w:w="120" w:type="dxa"/>
            <w:vAlign w:val="bottom"/>
            <w:tcBorders>
              <w:bottom w:val="single" w:sz="8" w:color="CCEEFF"/>
            </w:tcBorders>
            <w:shd w:val="clear" w:color="auto" w:fill="CCEEFF"/>
          </w:tcPr>
          <w:p>
            <w:pPr>
              <w:spacing w:after="0"/>
              <w:rPr>
                <w:sz w:val="22"/>
                <w:szCs w:val="22"/>
                <w:color w:val="auto"/>
              </w:rPr>
            </w:pPr>
          </w:p>
        </w:tc>
        <w:tc>
          <w:tcPr>
            <w:tcW w:w="5800" w:type="dxa"/>
            <w:vAlign w:val="bottom"/>
            <w:tcBorders>
              <w:bottom w:val="single" w:sz="8" w:color="CCEEFF"/>
            </w:tcBorders>
            <w:shd w:val="clear" w:color="auto" w:fill="CCEEFF"/>
          </w:tcPr>
          <w:p>
            <w:pPr>
              <w:spacing w:after="0"/>
              <w:rPr>
                <w:sz w:val="22"/>
                <w:szCs w:val="22"/>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Change in unrealized gains or losses is not a meaningful measure.</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See Note 12 — Derivative Financial Instruments of the Combined Notes to Consolidated Financial Statements for additional information on unrealized gains and losses.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changes in </w:t>
      </w:r>
      <w:r>
        <w:rPr>
          <w:rFonts w:ascii="Arial" w:cs="Arial" w:eastAsia="Arial" w:hAnsi="Arial"/>
          <w:sz w:val="16"/>
          <w:szCs w:val="16"/>
          <w:b w:val="1"/>
          <w:bCs w:val="1"/>
          <w:color w:val="auto"/>
        </w:rPr>
        <w:t>Operating and maintenance expense</w:t>
      </w:r>
      <w:r>
        <w:rPr>
          <w:rFonts w:ascii="Arial" w:cs="Arial" w:eastAsia="Arial" w:hAnsi="Arial"/>
          <w:sz w:val="16"/>
          <w:szCs w:val="16"/>
          <w:color w:val="auto"/>
        </w:rPr>
        <w:t xml:space="preserve"> consisted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40" w:type="dxa"/>
            <w:vAlign w:val="bottom"/>
          </w:tcPr>
          <w:p>
            <w:pPr>
              <w:jc w:val="center"/>
              <w:ind w:right="386"/>
              <w:spacing w:after="0"/>
              <w:rPr>
                <w:sz w:val="20"/>
                <w:szCs w:val="20"/>
                <w:color w:val="auto"/>
              </w:rPr>
            </w:pPr>
            <w:r>
              <w:rPr>
                <w:rFonts w:ascii="Arial" w:cs="Arial" w:eastAsia="Arial" w:hAnsi="Arial"/>
                <w:sz w:val="13"/>
                <w:szCs w:val="13"/>
                <w:b w:val="1"/>
                <w:bCs w:val="1"/>
                <w:color w:val="auto"/>
                <w:w w:val="96"/>
              </w:rPr>
              <w:t>Three Months Ended</w:t>
            </w:r>
          </w:p>
        </w:tc>
      </w:tr>
      <w:tr>
        <w:trPr>
          <w:trHeight w:val="176"/>
        </w:trPr>
        <w:tc>
          <w:tcPr>
            <w:tcW w:w="84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right"/>
              <w:ind w:right="1026"/>
              <w:spacing w:after="0"/>
              <w:rPr>
                <w:sz w:val="20"/>
                <w:szCs w:val="20"/>
                <w:color w:val="auto"/>
              </w:rPr>
            </w:pPr>
            <w:r>
              <w:rPr>
                <w:rFonts w:ascii="Arial" w:cs="Arial" w:eastAsia="Arial" w:hAnsi="Arial"/>
                <w:sz w:val="13"/>
                <w:szCs w:val="13"/>
                <w:b w:val="1"/>
                <w:bCs w:val="1"/>
                <w:color w:val="auto"/>
              </w:rPr>
              <w:t>March 31</w:t>
            </w:r>
          </w:p>
        </w:tc>
      </w:tr>
      <w:tr>
        <w:trPr>
          <w:trHeight w:val="178"/>
        </w:trPr>
        <w:tc>
          <w:tcPr>
            <w:tcW w:w="8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40" w:type="dxa"/>
            <w:vAlign w:val="bottom"/>
          </w:tcPr>
          <w:p>
            <w:pPr>
              <w:jc w:val="center"/>
              <w:ind w:right="346"/>
              <w:spacing w:after="0"/>
              <w:rPr>
                <w:sz w:val="20"/>
                <w:szCs w:val="20"/>
                <w:color w:val="auto"/>
              </w:rPr>
            </w:pPr>
            <w:r>
              <w:rPr>
                <w:rFonts w:ascii="Arial" w:cs="Arial" w:eastAsia="Arial" w:hAnsi="Arial"/>
                <w:sz w:val="13"/>
                <w:szCs w:val="13"/>
                <w:b w:val="1"/>
                <w:bCs w:val="1"/>
                <w:color w:val="auto"/>
                <w:w w:val="96"/>
              </w:rPr>
              <w:t>2026 vs. 2025</w:t>
            </w:r>
          </w:p>
        </w:tc>
      </w:tr>
      <w:tr>
        <w:trPr>
          <w:trHeight w:val="22"/>
        </w:trPr>
        <w:tc>
          <w:tcPr>
            <w:tcW w:w="8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174"/>
        </w:trPr>
        <w:tc>
          <w:tcPr>
            <w:tcW w:w="8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40" w:type="dxa"/>
            <w:vAlign w:val="bottom"/>
          </w:tcPr>
          <w:p>
            <w:pPr>
              <w:jc w:val="center"/>
              <w:ind w:right="346"/>
              <w:spacing w:after="0"/>
              <w:rPr>
                <w:sz w:val="20"/>
                <w:szCs w:val="20"/>
                <w:color w:val="auto"/>
              </w:rPr>
            </w:pPr>
            <w:r>
              <w:rPr>
                <w:rFonts w:ascii="Arial" w:cs="Arial" w:eastAsia="Arial" w:hAnsi="Arial"/>
                <w:sz w:val="13"/>
                <w:szCs w:val="13"/>
                <w:b w:val="1"/>
                <w:bCs w:val="1"/>
                <w:color w:val="auto"/>
                <w:w w:val="97"/>
              </w:rPr>
              <w:t>Increase (Decrease)</w:t>
            </w: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223"/>
        </w:trPr>
        <w:tc>
          <w:tcPr>
            <w:tcW w:w="848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Labor, contracting, and materials</w:t>
            </w:r>
            <w:r>
              <w:rPr>
                <w:rFonts w:ascii="Arial" w:cs="Arial" w:eastAsia="Arial" w:hAnsi="Arial"/>
                <w:sz w:val="21"/>
                <w:szCs w:val="21"/>
                <w:color w:val="auto"/>
                <w:vertAlign w:val="superscript"/>
              </w:rPr>
              <w:t>(a)</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23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175</w:t>
            </w:r>
          </w:p>
        </w:tc>
      </w:tr>
      <w:tr>
        <w:trPr>
          <w:trHeight w:val="215"/>
        </w:trPr>
        <w:tc>
          <w:tcPr>
            <w:tcW w:w="8480" w:type="dxa"/>
            <w:vAlign w:val="bottom"/>
          </w:tcPr>
          <w:p>
            <w:pPr>
              <w:ind w:left="20"/>
              <w:spacing w:after="0"/>
              <w:rPr>
                <w:sz w:val="20"/>
                <w:szCs w:val="20"/>
                <w:color w:val="auto"/>
              </w:rPr>
            </w:pPr>
            <w:r>
              <w:rPr>
                <w:rFonts w:ascii="Arial" w:cs="Arial" w:eastAsia="Arial" w:hAnsi="Arial"/>
                <w:sz w:val="16"/>
                <w:szCs w:val="16"/>
                <w:color w:val="auto"/>
              </w:rPr>
              <w:t>Calpine merger and integration costs</w:t>
            </w:r>
          </w:p>
        </w:tc>
        <w:tc>
          <w:tcPr>
            <w:tcW w:w="420" w:type="dxa"/>
            <w:vAlign w:val="bottom"/>
          </w:tcPr>
          <w:p>
            <w:pPr>
              <w:spacing w:after="0"/>
              <w:rPr>
                <w:sz w:val="18"/>
                <w:szCs w:val="18"/>
                <w:color w:val="auto"/>
              </w:rPr>
            </w:pPr>
          </w:p>
        </w:tc>
        <w:tc>
          <w:tcPr>
            <w:tcW w:w="2340" w:type="dxa"/>
            <w:vAlign w:val="bottom"/>
          </w:tcPr>
          <w:p>
            <w:pPr>
              <w:jc w:val="right"/>
              <w:ind w:right="6"/>
              <w:spacing w:after="0"/>
              <w:rPr>
                <w:sz w:val="20"/>
                <w:szCs w:val="20"/>
                <w:color w:val="auto"/>
              </w:rPr>
            </w:pPr>
            <w:r>
              <w:rPr>
                <w:rFonts w:ascii="Arial" w:cs="Arial" w:eastAsia="Arial" w:hAnsi="Arial"/>
                <w:sz w:val="16"/>
                <w:szCs w:val="16"/>
                <w:color w:val="auto"/>
              </w:rPr>
              <w:t>126</w:t>
            </w:r>
          </w:p>
        </w:tc>
      </w:tr>
      <w:tr>
        <w:trPr>
          <w:trHeight w:val="217"/>
        </w:trPr>
        <w:tc>
          <w:tcPr>
            <w:tcW w:w="84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Nuclear refueling outage costs</w:t>
            </w:r>
            <w:r>
              <w:rPr>
                <w:rFonts w:ascii="Arial" w:cs="Arial" w:eastAsia="Arial" w:hAnsi="Arial"/>
                <w:sz w:val="21"/>
                <w:szCs w:val="21"/>
                <w:color w:val="auto"/>
                <w:vertAlign w:val="superscript"/>
              </w:rPr>
              <w:t>(b)</w:t>
            </w:r>
          </w:p>
        </w:tc>
        <w:tc>
          <w:tcPr>
            <w:tcW w:w="420" w:type="dxa"/>
            <w:vAlign w:val="bottom"/>
            <w:shd w:val="clear" w:color="auto" w:fill="CCEEFF"/>
          </w:tcPr>
          <w:p>
            <w:pPr>
              <w:spacing w:after="0"/>
              <w:rPr>
                <w:sz w:val="18"/>
                <w:szCs w:val="18"/>
                <w:color w:val="auto"/>
              </w:rPr>
            </w:pPr>
          </w:p>
        </w:tc>
        <w:tc>
          <w:tcPr>
            <w:tcW w:w="23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51</w:t>
            </w:r>
          </w:p>
        </w:tc>
      </w:tr>
      <w:tr>
        <w:trPr>
          <w:trHeight w:val="242"/>
        </w:trPr>
        <w:tc>
          <w:tcPr>
            <w:tcW w:w="8480" w:type="dxa"/>
            <w:vAlign w:val="bottom"/>
          </w:tcPr>
          <w:p>
            <w:pPr>
              <w:ind w:left="20"/>
              <w:spacing w:after="0"/>
              <w:rPr>
                <w:sz w:val="20"/>
                <w:szCs w:val="20"/>
                <w:color w:val="auto"/>
              </w:rPr>
            </w:pPr>
            <w:r>
              <w:rPr>
                <w:rFonts w:ascii="Arial" w:cs="Arial" w:eastAsia="Arial" w:hAnsi="Arial"/>
                <w:sz w:val="16"/>
                <w:szCs w:val="16"/>
                <w:color w:val="auto"/>
              </w:rPr>
              <w:t>Decommissioning-related activities</w:t>
            </w:r>
          </w:p>
        </w:tc>
        <w:tc>
          <w:tcPr>
            <w:tcW w:w="42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44"/>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155</w:t>
            </w: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Total increase</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23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235</w:t>
            </w:r>
          </w:p>
        </w:tc>
      </w:tr>
      <w:tr>
        <w:trPr>
          <w:trHeight w:val="27"/>
        </w:trPr>
        <w:tc>
          <w:tcPr>
            <w:tcW w:w="8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hanging="332"/>
        <w:spacing w:after="0" w:line="262" w:lineRule="auto"/>
        <w:tabs>
          <w:tab w:leader="none" w:pos="327"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Primarily reflects increased employee-related costs, including labor and other incentives, as well as higher contracting expense, driven in large part by the addition of Calpine's operations beginning in January 2026.</w:t>
      </w: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the co-owned Salem and STP generating units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Depreciation and amortization expense </w:t>
      </w:r>
      <w:r>
        <w:rPr>
          <w:rFonts w:ascii="Arial" w:cs="Arial" w:eastAsia="Arial" w:hAnsi="Arial"/>
          <w:sz w:val="16"/>
          <w:szCs w:val="16"/>
          <w:color w:val="auto"/>
        </w:rPr>
        <w:t>increased by $195 million for the three months ended March 31, 2026 compared to the same period in 2025,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due to the additional depreciation and amortization associated with assets acquired from Calpine beginning in January 2026. See Note 2 — Mergers, Acquisitions, and Dispositions of the Combined Notes to Consolidated Financial Statements for additional information.</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increased by $107 million for the three months ended March 31, 2026 compared to the same period in 2025, primarily due to a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outstanding debt as a result of the debt assumed and related financing transactions following the acquisition of Calpine in January 2026. See Note 13 — Debt and Credit Agreements of the Combined Notes to Consolidated Financial Statements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was favorable for the three months ended March 31, 2026 compared to the same period in 2025, due to activity described in the table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40" w:type="dxa"/>
            <w:vAlign w:val="bottom"/>
          </w:tcPr>
          <w:p>
            <w:pPr>
              <w:spacing w:after="0"/>
              <w:rPr>
                <w:sz w:val="14"/>
                <w:szCs w:val="14"/>
                <w:color w:val="auto"/>
              </w:rPr>
            </w:pPr>
          </w:p>
        </w:tc>
        <w:tc>
          <w:tcPr>
            <w:tcW w:w="2440" w:type="dxa"/>
            <w:vAlign w:val="bottom"/>
            <w:gridSpan w:val="4"/>
          </w:tcPr>
          <w:p>
            <w:pPr>
              <w:jc w:val="right"/>
              <w:ind w:right="285"/>
              <w:spacing w:after="0"/>
              <w:rPr>
                <w:sz w:val="20"/>
                <w:szCs w:val="20"/>
                <w:color w:val="auto"/>
              </w:rPr>
            </w:pPr>
            <w:r>
              <w:rPr>
                <w:rFonts w:ascii="Arial" w:cs="Arial" w:eastAsia="Arial" w:hAnsi="Arial"/>
                <w:sz w:val="13"/>
                <w:szCs w:val="13"/>
                <w:b w:val="1"/>
                <w:bCs w:val="1"/>
                <w:color w:val="auto"/>
              </w:rPr>
              <w:t>Income (Deductions)</w:t>
            </w:r>
          </w:p>
        </w:tc>
        <w:tc>
          <w:tcPr>
            <w:tcW w:w="460" w:type="dxa"/>
            <w:vAlign w:val="bottom"/>
          </w:tcPr>
          <w:p>
            <w:pPr>
              <w:spacing w:after="0"/>
              <w:rPr>
                <w:sz w:val="14"/>
                <w:szCs w:val="14"/>
                <w:color w:val="auto"/>
              </w:rPr>
            </w:pPr>
          </w:p>
        </w:tc>
      </w:tr>
      <w:tr>
        <w:trPr>
          <w:trHeight w:val="22"/>
        </w:trPr>
        <w:tc>
          <w:tcPr>
            <w:tcW w:w="8340" w:type="dxa"/>
            <w:vAlign w:val="bottom"/>
          </w:tcPr>
          <w:p>
            <w:pPr>
              <w:spacing w:after="0" w:line="20" w:lineRule="exact"/>
              <w:rPr>
                <w:sz w:val="1"/>
                <w:szCs w:val="1"/>
                <w:color w:val="auto"/>
              </w:rPr>
            </w:pPr>
          </w:p>
        </w:tc>
        <w:tc>
          <w:tcPr>
            <w:tcW w:w="2440" w:type="dxa"/>
            <w:vAlign w:val="bottom"/>
            <w:tcBorders>
              <w:bottom w:val="single" w:sz="8" w:color="auto"/>
            </w:tcBorders>
            <w:gridSpan w:val="4"/>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75"/>
        </w:trPr>
        <w:tc>
          <w:tcPr>
            <w:tcW w:w="8340" w:type="dxa"/>
            <w:vAlign w:val="bottom"/>
          </w:tcPr>
          <w:p>
            <w:pPr>
              <w:spacing w:after="0"/>
              <w:rPr>
                <w:sz w:val="15"/>
                <w:szCs w:val="15"/>
                <w:color w:val="auto"/>
              </w:rPr>
            </w:pPr>
          </w:p>
        </w:tc>
        <w:tc>
          <w:tcPr>
            <w:tcW w:w="244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460" w:type="dxa"/>
            <w:vAlign w:val="bottom"/>
          </w:tcPr>
          <w:p>
            <w:pPr>
              <w:spacing w:after="0"/>
              <w:rPr>
                <w:sz w:val="15"/>
                <w:szCs w:val="15"/>
                <w:color w:val="auto"/>
              </w:rPr>
            </w:pPr>
          </w:p>
        </w:tc>
      </w:tr>
      <w:tr>
        <w:trPr>
          <w:trHeight w:val="22"/>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74"/>
        </w:trPr>
        <w:tc>
          <w:tcPr>
            <w:tcW w:w="834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Arial" w:cs="Arial" w:eastAsia="Arial" w:hAnsi="Arial"/>
                <w:sz w:val="13"/>
                <w:szCs w:val="13"/>
                <w:b w:val="1"/>
                <w:bCs w:val="1"/>
                <w:color w:val="auto"/>
              </w:rPr>
              <w:t>2026</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Arial" w:cs="Arial" w:eastAsia="Arial" w:hAnsi="Arial"/>
                <w:sz w:val="13"/>
                <w:szCs w:val="13"/>
                <w:b w:val="1"/>
                <w:bCs w:val="1"/>
                <w:color w:val="auto"/>
              </w:rPr>
              <w:t>2025</w:t>
            </w:r>
          </w:p>
        </w:tc>
        <w:tc>
          <w:tcPr>
            <w:tcW w:w="460" w:type="dxa"/>
            <w:vAlign w:val="bottom"/>
          </w:tcPr>
          <w:p>
            <w:pPr>
              <w:spacing w:after="0"/>
              <w:rPr>
                <w:sz w:val="15"/>
                <w:szCs w:val="15"/>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Decommissioning-related activities</w:t>
            </w:r>
            <w:r>
              <w:rPr>
                <w:rFonts w:ascii="Arial" w:cs="Arial" w:eastAsia="Arial" w:hAnsi="Arial"/>
                <w:sz w:val="21"/>
                <w:szCs w:val="21"/>
                <w:color w:val="auto"/>
                <w:vertAlign w:val="superscript"/>
              </w:rPr>
              <w:t>(a)</w:t>
            </w:r>
          </w:p>
        </w:tc>
        <w:tc>
          <w:tcPr>
            <w:tcW w:w="960" w:type="dxa"/>
            <w:vAlign w:val="bottom"/>
            <w:shd w:val="clear" w:color="auto" w:fill="CCEEFF"/>
          </w:tcPr>
          <w:p>
            <w:pPr>
              <w:jc w:val="right"/>
              <w:ind w:right="79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43"/>
        </w:trPr>
        <w:tc>
          <w:tcPr>
            <w:tcW w:w="8340" w:type="dxa"/>
            <w:vAlign w:val="bottom"/>
          </w:tcPr>
          <w:p>
            <w:pPr>
              <w:ind w:left="20"/>
              <w:spacing w:after="0"/>
              <w:rPr>
                <w:sz w:val="20"/>
                <w:szCs w:val="20"/>
                <w:color w:val="auto"/>
              </w:rPr>
            </w:pPr>
            <w:r>
              <w:rPr>
                <w:rFonts w:ascii="Arial" w:cs="Arial" w:eastAsia="Arial" w:hAnsi="Arial"/>
                <w:sz w:val="16"/>
                <w:szCs w:val="16"/>
                <w:color w:val="auto"/>
              </w:rPr>
              <w:t>Net unrealized gains (losses) from equity investments</w:t>
            </w:r>
            <w:r>
              <w:rPr>
                <w:rFonts w:ascii="Arial" w:cs="Arial" w:eastAsia="Arial" w:hAnsi="Arial"/>
                <w:sz w:val="21"/>
                <w:szCs w:val="21"/>
                <w:color w:val="auto"/>
                <w:vertAlign w:val="superscript"/>
              </w:rPr>
              <w:t>(b)</w:t>
            </w:r>
          </w:p>
        </w:tc>
        <w:tc>
          <w:tcPr>
            <w:tcW w:w="960" w:type="dxa"/>
            <w:vAlign w:val="bottom"/>
          </w:tcPr>
          <w:p>
            <w:pPr>
              <w:spacing w:after="0"/>
              <w:rPr>
                <w:sz w:val="21"/>
                <w:szCs w:val="21"/>
                <w:color w:val="auto"/>
              </w:rPr>
            </w:pPr>
          </w:p>
        </w:tc>
        <w:tc>
          <w:tcPr>
            <w:tcW w:w="420" w:type="dxa"/>
            <w:vAlign w:val="bottom"/>
          </w:tcPr>
          <w:p>
            <w:pPr>
              <w:jc w:val="center"/>
              <w:ind w:left="19"/>
              <w:spacing w:after="0"/>
              <w:rPr>
                <w:sz w:val="20"/>
                <w:szCs w:val="20"/>
                <w:color w:val="auto"/>
              </w:rPr>
            </w:pPr>
            <w:r>
              <w:rPr>
                <w:rFonts w:ascii="Arial" w:cs="Arial" w:eastAsia="Arial" w:hAnsi="Arial"/>
                <w:sz w:val="16"/>
                <w:szCs w:val="16"/>
                <w:color w:val="auto"/>
                <w:w w:val="98"/>
              </w:rPr>
              <w:t>(27)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3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43"/>
        </w:trPr>
        <w:tc>
          <w:tcPr>
            <w:tcW w:w="83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tcPr>
          <w:p>
            <w:pPr>
              <w:jc w:val="right"/>
              <w:ind w:right="790"/>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1"/>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jc w:val="both"/>
        <w:ind w:left="340" w:hanging="332"/>
        <w:spacing w:after="0" w:line="255" w:lineRule="auto"/>
        <w:tabs>
          <w:tab w:leader="none" w:pos="327"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net realized and net unrealized gains (losses) on NDT fund investments, the elimination of decommissioning-related activities, and the elimination of income taxes related to all NDT fund activity for the Regulatory Agreement Units. See Note 9 — Asset Retirement Obligations and Note 18 — Supplemental Financial Information of the Combined Notes to Consolidated Financial Statements for additional information.</w:t>
      </w:r>
    </w:p>
    <w:p>
      <w:pPr>
        <w:ind w:left="340" w:hanging="332"/>
        <w:spacing w:after="0" w:line="284" w:lineRule="auto"/>
        <w:tabs>
          <w:tab w:leader="none" w:pos="327"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unrealized gains (losses) resulting from an equity investment in a publicly traded company. We record the fair value of this investment in Other deferred debits and other assets in the Consolidated Balance Sheets based on quoted market price of the stock.</w:t>
      </w:r>
    </w:p>
    <w:p>
      <w:pPr>
        <w:spacing w:after="0" w:line="113"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b w:val="1"/>
          <w:bCs w:val="1"/>
          <w:i w:val="1"/>
          <w:iCs w:val="1"/>
          <w:color w:val="auto"/>
        </w:rPr>
        <w:t xml:space="preserve">Effective income tax rates </w:t>
      </w:r>
      <w:r>
        <w:rPr>
          <w:rFonts w:ascii="Arial" w:cs="Arial" w:eastAsia="Arial" w:hAnsi="Arial"/>
          <w:sz w:val="16"/>
          <w:szCs w:val="16"/>
          <w:color w:val="auto"/>
        </w:rPr>
        <w:t>were 24.9% and 14.6% for the three months ended March 31, 2026 and 2025, respectively. The change in effective tax rate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2026 is primarily due to the decrease in share-based payment awards as well as lower qualified NDT fund income which is taxed at a higher rate. See Note 10 — Income Taxes of the Combined Notes to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All results included throughout the liquidity and capital resources section are presented on a GAAP basis.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operating and capital expenditures requirements are provided by internally generated cash flows from operations as well as funds from external sources in the capital markets and through bank borrowings. Our business is capital intensive and requires considerable capital resources. We annually evaluate our financing plan and credit line sizing, focusing on maintaining our investment grade ratings while meeting our cash needs to fund capital requirements, including construction expenditures, retire debt, pay dividends, fund pension and OPEB obligations, and invest in new and existing ventures, such as our acquisition of Calpine and planned restart of Crane. A broad spectrum of financing alternatives beyond the core financing options can be used to meet our needs and fund growth, including monetizing assets in the portfolio via project financing, asset sales, and the use of other financing structures (e.g., issuing equity, joint ventures, minority partners, etc.). Our access to external financing on reasonable terms depends on our credit ratings and current overall capital market business conditions. If these conditions deteriorate to the extent that we no longer have access to the capital markets at reasonable terms, we have access to credit facilities with aggregate bank commitments of $15.1 billion. We utilize our credit facilities to support our commercial paper programs, provide for other short-term borrowings and to issue letters of credit. See the “Credit Matters and Cash Requirements” section below for additional information. We expect cash flows to be sufficient to meet operating expenses, financing costs, and capital expenditure requirements. See Note 13 — Debt and Credit Agreements of the Combined Notes to Consolidated Financial Statements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 activities for the three months ended March 31, 2026 and 2025,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3300" w:type="dxa"/>
            <w:vAlign w:val="bottom"/>
            <w:gridSpan w:val="4"/>
          </w:tcPr>
          <w:p>
            <w:pPr>
              <w:jc w:val="right"/>
              <w:ind w:right="305"/>
              <w:spacing w:after="0"/>
              <w:rPr>
                <w:sz w:val="20"/>
                <w:szCs w:val="20"/>
                <w:color w:val="auto"/>
              </w:rPr>
            </w:pPr>
            <w:r>
              <w:rPr>
                <w:rFonts w:ascii="Arial" w:cs="Arial" w:eastAsia="Arial" w:hAnsi="Arial"/>
                <w:sz w:val="13"/>
                <w:szCs w:val="13"/>
                <w:b w:val="1"/>
                <w:bCs w:val="1"/>
                <w:color w:val="auto"/>
              </w:rPr>
              <w:t>Three Months Ended March 31,</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vMerge w:val="restart"/>
          </w:tcPr>
          <w:p>
            <w:pPr>
              <w:jc w:val="right"/>
              <w:ind w:right="602"/>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4"/>
        </w:trPr>
        <w:tc>
          <w:tcPr>
            <w:tcW w:w="520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3"/>
                <w:szCs w:val="13"/>
                <w:b w:val="1"/>
                <w:bCs w:val="1"/>
                <w:color w:val="auto"/>
              </w:rPr>
              <w:t>2026</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65"/>
              <w:spacing w:after="0"/>
              <w:rPr>
                <w:sz w:val="20"/>
                <w:szCs w:val="20"/>
                <w:color w:val="auto"/>
              </w:rPr>
            </w:pPr>
            <w:r>
              <w:rPr>
                <w:rFonts w:ascii="Arial" w:cs="Arial" w:eastAsia="Arial" w:hAnsi="Arial"/>
                <w:sz w:val="13"/>
                <w:szCs w:val="13"/>
                <w:b w:val="1"/>
                <w:bCs w:val="1"/>
                <w:color w:val="auto"/>
              </w:rPr>
              <w:t>2025</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restricted cash, and cash equivalents at beginning of period</w:t>
            </w:r>
          </w:p>
        </w:tc>
        <w:tc>
          <w:tcPr>
            <w:tcW w:w="1260" w:type="dxa"/>
            <w:vAlign w:val="bottom"/>
            <w:shd w:val="clear" w:color="auto" w:fill="CCEEFF"/>
          </w:tcPr>
          <w:p>
            <w:pPr>
              <w:jc w:val="right"/>
              <w:ind w:right="1068"/>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6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35"/>
        </w:trPr>
        <w:tc>
          <w:tcPr>
            <w:tcW w:w="5200" w:type="dxa"/>
            <w:vAlign w:val="bottom"/>
          </w:tcPr>
          <w:p>
            <w:pPr>
              <w:ind w:left="140"/>
              <w:spacing w:after="0"/>
              <w:rPr>
                <w:sz w:val="20"/>
                <w:szCs w:val="20"/>
                <w:color w:val="auto"/>
              </w:rPr>
            </w:pPr>
            <w:r>
              <w:rPr>
                <w:rFonts w:ascii="Arial" w:cs="Arial" w:eastAsia="Arial" w:hAnsi="Arial"/>
                <w:sz w:val="16"/>
                <w:szCs w:val="16"/>
                <w:color w:val="auto"/>
              </w:rPr>
              <w:t>Net cash provided by (used in):</w:t>
            </w: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activities</w:t>
            </w:r>
          </w:p>
        </w:tc>
        <w:tc>
          <w:tcPr>
            <w:tcW w:w="1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5"/>
        </w:trPr>
        <w:tc>
          <w:tcPr>
            <w:tcW w:w="5200" w:type="dxa"/>
            <w:vAlign w:val="bottom"/>
          </w:tcPr>
          <w:p>
            <w:pPr>
              <w:ind w:left="360"/>
              <w:spacing w:after="0"/>
              <w:rPr>
                <w:sz w:val="20"/>
                <w:szCs w:val="20"/>
                <w:color w:val="auto"/>
              </w:rPr>
            </w:pPr>
            <w:r>
              <w:rPr>
                <w:rFonts w:ascii="Arial" w:cs="Arial" w:eastAsia="Arial" w:hAnsi="Arial"/>
                <w:sz w:val="16"/>
                <w:szCs w:val="16"/>
                <w:color w:val="auto"/>
              </w:rPr>
              <w:t>Investing activities</w:t>
            </w:r>
          </w:p>
        </w:tc>
        <w:tc>
          <w:tcPr>
            <w:tcW w:w="1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(3,732)</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251"/>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Financing activities</w:t>
            </w:r>
          </w:p>
        </w:tc>
        <w:tc>
          <w:tcPr>
            <w:tcW w:w="12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increase (decrease) in cash, restricted cash, and cash equivalents</w:t>
            </w:r>
          </w:p>
        </w:tc>
        <w:tc>
          <w:tcPr>
            <w:tcW w:w="1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restricted cash, and cash equivalents at end of period</w:t>
            </w:r>
          </w:p>
        </w:tc>
        <w:tc>
          <w:tcPr>
            <w:tcW w:w="126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65"/>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(Used In) Operating Activities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provided by operating activities was $425 million and $107 million for the three months ended March 31, 2026 and 2025, respectively. Changes in our cash flows from operations were generally consistent with changes in results of operations, as adjusted for changes in working capital in the normal course of business. Additionally, the increase in cash provided by operating activities was due to cash inflows associated with a decrease in collateral posted. See Note 12 — Derivative Financial Instruments of the Combined Notes to Consolidated Financial Statements for 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(Used In) Investing Activities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Cash used in investing activities was ($3,732) million and ($886) million for the three months ended March 31, 2026 and 2025, respectively. The change is primarily related to cash paid, net of cash acquired, for the Calpine acquisition. See Note 2 — Mergers, Acquisitions, and Dispositions of the Combined Notes to Consolidated Financial Statements for additional information.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(Used In) Financing Activities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provided by financing activities was $730 million for the three months ended March 31, 2026, compared to cash used in financing activities of ($408) million for the three months ended March 31, 2025. The change primarily relates to long-term debt and changes in short-term borrowings. Debt issuances and redemptions or repayments vary each year. For the three months ended March 31, 2026, these activities reflect the impact of debt transactions associated with the acquisition of Calpine. See Note 13 — Debt and Credit Agreements of the Combined Notes to Consolidated Financial Statements for 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Quarterly dividends declared by our Board of Directors during 2026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gridSpan w:val="2"/>
          </w:tcPr>
          <w:p>
            <w:pPr>
              <w:ind w:left="1080"/>
              <w:spacing w:after="0"/>
              <w:rPr>
                <w:sz w:val="20"/>
                <w:szCs w:val="20"/>
                <w:color w:val="auto"/>
              </w:rPr>
            </w:pPr>
            <w:r>
              <w:rPr>
                <w:rFonts w:ascii="Arial" w:cs="Arial" w:eastAsia="Arial" w:hAnsi="Arial"/>
                <w:sz w:val="13"/>
                <w:szCs w:val="13"/>
                <w:b w:val="1"/>
                <w:bCs w:val="1"/>
                <w:color w:val="auto"/>
              </w:rPr>
              <w:t>Period</w:t>
            </w:r>
          </w:p>
        </w:tc>
        <w:tc>
          <w:tcPr>
            <w:tcW w:w="2140" w:type="dxa"/>
            <w:vAlign w:val="bottom"/>
            <w:gridSpan w:val="2"/>
          </w:tcPr>
          <w:p>
            <w:pPr>
              <w:ind w:left="520"/>
              <w:spacing w:after="0"/>
              <w:rPr>
                <w:sz w:val="20"/>
                <w:szCs w:val="20"/>
                <w:color w:val="auto"/>
              </w:rPr>
            </w:pPr>
            <w:r>
              <w:rPr>
                <w:rFonts w:ascii="Arial" w:cs="Arial" w:eastAsia="Arial" w:hAnsi="Arial"/>
                <w:sz w:val="13"/>
                <w:szCs w:val="13"/>
                <w:b w:val="1"/>
                <w:bCs w:val="1"/>
                <w:color w:val="auto"/>
              </w:rPr>
              <w:t>Declaration Date</w:t>
            </w:r>
          </w:p>
        </w:tc>
        <w:tc>
          <w:tcPr>
            <w:tcW w:w="2580" w:type="dxa"/>
            <w:vAlign w:val="bottom"/>
            <w:gridSpan w:val="3"/>
          </w:tcPr>
          <w:p>
            <w:pPr>
              <w:ind w:left="400"/>
              <w:spacing w:after="0"/>
              <w:rPr>
                <w:sz w:val="20"/>
                <w:szCs w:val="20"/>
                <w:color w:val="auto"/>
              </w:rPr>
            </w:pPr>
            <w:r>
              <w:rPr>
                <w:rFonts w:ascii="Arial" w:cs="Arial" w:eastAsia="Arial" w:hAnsi="Arial"/>
                <w:sz w:val="13"/>
                <w:szCs w:val="13"/>
                <w:b w:val="1"/>
                <w:bCs w:val="1"/>
                <w:color w:val="auto"/>
              </w:rPr>
              <w:t>Shareholder of Record Date</w:t>
            </w:r>
          </w:p>
        </w:tc>
        <w:tc>
          <w:tcPr>
            <w:tcW w:w="2360" w:type="dxa"/>
            <w:vAlign w:val="bottom"/>
            <w:gridSpan w:val="2"/>
          </w:tcPr>
          <w:p>
            <w:pPr>
              <w:ind w:left="440"/>
              <w:spacing w:after="0"/>
              <w:rPr>
                <w:sz w:val="20"/>
                <w:szCs w:val="20"/>
                <w:color w:val="auto"/>
              </w:rPr>
            </w:pPr>
            <w:r>
              <w:rPr>
                <w:rFonts w:ascii="Arial" w:cs="Arial" w:eastAsia="Arial" w:hAnsi="Arial"/>
                <w:sz w:val="13"/>
                <w:szCs w:val="13"/>
                <w:b w:val="1"/>
                <w:bCs w:val="1"/>
                <w:color w:val="auto"/>
              </w:rPr>
              <w:t>Dividend Payable Date</w:t>
            </w:r>
          </w:p>
        </w:tc>
        <w:tc>
          <w:tcPr>
            <w:tcW w:w="180" w:type="dxa"/>
            <w:vAlign w:val="bottom"/>
          </w:tcPr>
          <w:p>
            <w:pPr>
              <w:spacing w:after="0"/>
              <w:rPr>
                <w:sz w:val="14"/>
                <w:szCs w:val="14"/>
                <w:color w:val="auto"/>
              </w:rPr>
            </w:pPr>
          </w:p>
        </w:tc>
        <w:tc>
          <w:tcPr>
            <w:tcW w:w="1300" w:type="dxa"/>
            <w:vAlign w:val="bottom"/>
          </w:tcPr>
          <w:p>
            <w:pPr>
              <w:jc w:val="right"/>
              <w:ind w:right="205"/>
              <w:spacing w:after="0"/>
              <w:rPr>
                <w:sz w:val="20"/>
                <w:szCs w:val="20"/>
                <w:color w:val="auto"/>
              </w:rPr>
            </w:pPr>
            <w:r>
              <w:rPr>
                <w:rFonts w:ascii="Arial" w:cs="Arial" w:eastAsia="Arial" w:hAnsi="Arial"/>
                <w:sz w:val="13"/>
                <w:szCs w:val="13"/>
                <w:b w:val="1"/>
                <w:bCs w:val="1"/>
                <w:color w:val="auto"/>
              </w:rPr>
              <w:t>Cash per Share</w:t>
            </w:r>
          </w:p>
        </w:tc>
      </w:tr>
      <w:tr>
        <w:trPr>
          <w:trHeight w:val="22"/>
        </w:trPr>
        <w:tc>
          <w:tcPr>
            <w:tcW w:w="2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6"/>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Quarter of 2026</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20, 2026</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March 20, 2026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0.4265</w:t>
            </w:r>
          </w:p>
        </w:tc>
      </w:tr>
      <w:tr>
        <w:trPr>
          <w:trHeight w:val="228"/>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Second Quarter of 2026</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April 28, 2026</w:t>
            </w:r>
          </w:p>
        </w:tc>
        <w:tc>
          <w:tcPr>
            <w:tcW w:w="2060" w:type="dxa"/>
            <w:vAlign w:val="bottom"/>
          </w:tcPr>
          <w:p>
            <w:pPr>
              <w:jc w:val="right"/>
              <w:spacing w:after="0"/>
              <w:rPr>
                <w:sz w:val="20"/>
                <w:szCs w:val="20"/>
                <w:color w:val="auto"/>
              </w:rPr>
            </w:pPr>
            <w:r>
              <w:rPr>
                <w:rFonts w:ascii="Arial" w:cs="Arial" w:eastAsia="Arial" w:hAnsi="Arial"/>
                <w:sz w:val="16"/>
                <w:szCs w:val="16"/>
                <w:color w:val="auto"/>
              </w:rPr>
              <w:t>May 15,</w:t>
            </w:r>
          </w:p>
        </w:tc>
        <w:tc>
          <w:tcPr>
            <w:tcW w:w="400" w:type="dxa"/>
            <w:vAlign w:val="bottom"/>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9"/>
                <w:szCs w:val="19"/>
                <w:color w:val="auto"/>
              </w:rPr>
            </w:pPr>
          </w:p>
        </w:tc>
        <w:tc>
          <w:tcPr>
            <w:tcW w:w="2360" w:type="dxa"/>
            <w:vAlign w:val="bottom"/>
            <w:gridSpan w:val="2"/>
          </w:tcPr>
          <w:p>
            <w:pPr>
              <w:jc w:val="right"/>
              <w:ind w:right="140"/>
              <w:spacing w:after="0"/>
              <w:rPr>
                <w:sz w:val="20"/>
                <w:szCs w:val="20"/>
                <w:color w:val="auto"/>
              </w:rPr>
            </w:pPr>
            <w:r>
              <w:rPr>
                <w:rFonts w:ascii="Arial" w:cs="Arial" w:eastAsia="Arial" w:hAnsi="Arial"/>
                <w:sz w:val="16"/>
                <w:szCs w:val="16"/>
                <w:color w:val="auto"/>
              </w:rPr>
              <w:t>June 5, 2026</w:t>
            </w:r>
          </w:p>
        </w:tc>
        <w:tc>
          <w:tcPr>
            <w:tcW w:w="180" w:type="dxa"/>
            <w:vAlign w:val="bottom"/>
          </w:tcPr>
          <w:p>
            <w:pPr>
              <w:spacing w:after="0"/>
              <w:rPr>
                <w:sz w:val="19"/>
                <w:szCs w:val="19"/>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0.4265</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Matters and Cash Requirements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fund liquidity needs for capital expenditures, working capital, energy hedging and other financial commitments through cash flows from operations, public debt offerings, commercial paper markets and large, diversified credit facilities. As of March 31, 2026, we have access to facilities with aggregate bank commitments of $15.1 billion. See Note 13 — Debt and Credit Agreements of the Combined Notes to Consolidated Financial Statements for additional information.</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had access to the commercial paper markets and had availability under our revolving credit facilities during the first quarter of 2026 to fund our short-term liquidity needs, when necessary. We routinely review the sufficiency of our liquidity position, including appropriate sizing of credit facility commitments, by performing various stress test scenarios, such as commodity price movements, increases in margin-related transactions, changes in hedging levels, and the impacts of hypothetical credit downgrades. We closely monitor events in the financial markets and the financial institutions associated with the credit facilities, including monitoring credit ratings and outlooks, credit default swap levels, capital raising, and merger activity. See PART I, ITEM 1A. RISK FACTORS of our 2025 Form 10-K for additional information regarding the effects of uncertainty in the capital and credit markets.</w:t>
      </w:r>
    </w:p>
    <w:p>
      <w:pPr>
        <w:spacing w:after="0" w:line="12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believe our cash flow from operating activities, access to credit markets and our credit facilities provide sufficient liquidity to support the estimated future cash requirements discussed below.</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Security Ratings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access to the capital markets, including the commercial paper market, and our financing costs in those markets, may depend on our securities ratings. A loss of investment grade credit rating would have required a three-notch downgrade by S&amp;P or Moody's from their current levels as of March 31, 2026 of BBB+ and Baa1, to BB+ and Ba1 or below, respectively. As of March 31, 2026, we had $6.7 billion of available capacity under our credit facilities and $0.8 billion of cash on hand. In the event of a credit downgrade below investment grade and a resulting requirement to provide incremental collateral exceeding available capacity under our credit facilities and cash on hand, we would be required to access additional liquidity through the capital markets. Our borrowings are not subject to default or prepayment as a result of a downgrade of our securities, although such a downgrade could increase fees and interest charges under our credit agreements. Our credit ratings were affirmed by Moody’s and S&amp;P in January 2026 following the completion of the acquisition of Calpine.</w:t>
      </w:r>
    </w:p>
    <w:p>
      <w:pPr>
        <w:spacing w:after="0" w:line="3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we had lost our investment grade credit ratings as of March 31, 2026, we would have been required to provide incremental collateral estimated to be approximately $3.0 billion to meet collateral obligations for derivatives, non-derivatives, NPNS, and applicable payables and receivables, net of the contractual right of offset under master netting agreements.</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See Note 12 — Derivative Financial Instruments and Note 13 — Debt and Credit Agreements of the Combined Notes to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Pension and Other Postretirement Benefits</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consider various factors when making qualified pension funding decisions, including actuarially-determined minimum contribution requirements under ERISA, contributions required to avoid benefit restrictions and at-risk status as defined by the Pension Protection Act, and management of the pension obligation. The Pension Protection Act requires the attainment of certain funding levels to avoid benefit restrictions (such as an inability to pay lump sums or to accrue benefits prospectively) and at-risk status (which triggers higher minimum contribution requirements and participant notification). The contributions below reflect a funding strategy to make annual contributions to offset the growth of the liability. Based on this funding strategy and current market conditions, which are both subject to change, our annual qualified pension contribution was made in February 2026 for $161 million. Unlike the qualified pension plans, our non-qualified plans are not subject to statutory minimum contribution requirements.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OPEB plans are also not subject to statutory minimum contribution requirements, though we have funded a portion of our plans. Annually, we evaluate whether additional funding for those plans is needed. For our funded OPEB plans, we consider several factors in determining the level of our contributions, including liabilities management and levels of benefit claims paid. The estimated benefit payments to the non-qualified pension plans in 2026 are approximately $25 million and the planned contributions to the OPEB plans, including estimated benefit payments to unfunded plans, are $64 million. Expected contributions in 2026 or future years could be affected by adjustments in our pension and OPEB funding strategy, market conditions, or pension regulation changes. Refer to ITEM 7. MANAGEMENT'S DISCUSSION AND ANALYSIS OF FINANCIAL CONDITION AND RESULTS OF OPERATIONS - Liquidity and Capital Resources of our 2025 Form 10-K for additional information on pension and other postretirement benefits.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Requirements for Other Financial Commitments</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connection with the acquisition of Calpine in January 2026, we assumed approximately $3 billion of projected cash payments under existing financial commitments with fixed or minimum payments required. These commitments exclude future cash payments for debt service on assumed debt as much of the debt was refinanced or paid off following the acquisition. See Note 13 — Debt and Credit Agreements of the Combined Notes to Consolidated Financial Statements for additional information. Other than as described above and elsewhere in this Quarterly Report on Form 10-Q, there have been no material changes to the cash requirements from contractual and other obligations disclosed in our 2025 Annual Report on Form 10-K. Refer to ITEM 7. MANAGEMENT'S DISCUSSION AND ANALYSIS OF FINANCIAL CONDITION AND RESULTS OF OPERATIONS - Liquidity and Capital Resources of our 2025 Form 10-K for additional information on our cash requirements for financial commitments.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Facilities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an accounts receivable financing facility that provides us access to revolving loans from a number of financial institutions secured by certain accounts receivables. As a result of our acquisition of Calpine in January 2026, we assumed Calpine's accounts receivable sales program which allows for the sale of certain Calpine receivables at a nominal discount. See Note 7 — Accounts Receivable and Note 13 — Debt and Credit Agreements of the Combined Notes to Consolidated Financial Statements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Project Financing</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Project financing is based upon a financial structure in which project debt is paid back from the cash generated by a specific asset or portfolio of assets. Borrowings under these agreements are secured by the assets and equity of each respective project. If a project financing entity does not maintain compliance with its specific debt covenants, there could be a requirement to accelerate repayment of the associated debt or other project-related borrowings earlier than the stated maturity dates. In these instances, if such repayment were not satisfied, or restructured, the lenders or security holders would generally have rights to foreclose against the project-specific assets and related collateral. The potential requirement to repay the debt or other borrowings earlier than otherwise anticipated could lead to impairments due to a higher likelihood of disposing of the respective project-specific assets significantly before the end of their useful lives. As a result of our acquisition of Calpine in January 2026, we assumed various project financing arrangements. See Note 16 — Debt and Credit Agreements of our 2025 Form 10-K and Note 13 — Debt and Credit Agreements of the Combined Notes to Consolidated Financial Statements for additional information on project finance credit facilities and nonrecourse debt.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Facilities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meet our short-term liquidity requirements primarily through the issuance of commercial paper. We may use our credit facilities for general corporate purposes, including meeting short-term funding requirements and the issuance of letters of credit. We assumed various credit facilities as part of the acquisition of Calpine. See Note 13 — Debt and Credit Agreements of the Combined Notes to Consolidated Financial Statements for additional information on our credit facilities.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NRC Minimum Funding Requirements</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NRC regulations require that licensees of nuclear generating facilities demonstrate reasonable assurance that sufficient funds will be available in certain minimum amounts for radiological decommissioning of the facility. These NRC minimum funding levels are typically based upon the assumption that decommissioning activities will commence after the end of the current licensed life of each unit. If a unit fails the NRC minimum funding test, then the plant’s owners or parent companies would be required to take steps, such as providing financial guarantees through surety bonds, letters of credit, or parent company guarantees or making additional cash contributions to the NDT fund to ensure sufficient funds are available. See Note 9 — Asset Retirement Obligations of the Combined Notes to Consolidated Financial Statements for additional information regarding the latest funding status report filed with the NRC.</w:t>
      </w:r>
    </w:p>
    <w:p>
      <w:pPr>
        <w:spacing w:after="0" w:line="32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March 31, 2026, the Crane NDT is fully funded under the SAFSTOR scenario that was the planned decommissioning option, as described in the Crane PSDAR filed with the NRC in April 2019. We will continue to file Crane's decommissioning funding status with the NRC annually until restart, at which point we will file decommissioning funding status reports in accordance with applicable NRC requirements. Additionally, as of March 31, 2026, we have adequate NDT funds for the remaining radiological decommissioning costs at Zion Station related to the Independent Spent Fuel Storage Installation. Decommissioning costs other than radiological may require funding from us. See Liquidity and Capital Resources — NRC Minimum Funding Requirements of our 2025 Form 10-K for information regarding the risk of additional financial assurance for shutdown units.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Properties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have been no changes in the properties that were owned as of December 31, 2025 and disclosed within ITEM 2. PROPERTIES of our 2025 Form 10-K. The following table presents our interests in net electric generating capacity by station as of March 31, 2026, for those acquired from Calpine.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Station</w:t>
            </w:r>
          </w:p>
        </w:tc>
        <w:tc>
          <w:tcPr>
            <w:tcW w:w="100" w:type="dxa"/>
            <w:vAlign w:val="bottom"/>
            <w:vMerge w:val="restart"/>
          </w:tcPr>
          <w:p>
            <w:pPr>
              <w:spacing w:after="0"/>
              <w:rPr>
                <w:sz w:val="12"/>
                <w:szCs w:val="12"/>
                <w:color w:val="auto"/>
              </w:rPr>
            </w:pPr>
          </w:p>
        </w:tc>
        <w:tc>
          <w:tcPr>
            <w:tcW w:w="2220" w:type="dxa"/>
            <w:vAlign w:val="bottom"/>
            <w:vMerge w:val="restart"/>
          </w:tcPr>
          <w:p>
            <w:pPr>
              <w:jc w:val="right"/>
              <w:ind w:right="780"/>
              <w:spacing w:after="0"/>
              <w:rPr>
                <w:sz w:val="20"/>
                <w:szCs w:val="20"/>
                <w:color w:val="auto"/>
              </w:rPr>
            </w:pPr>
            <w:r>
              <w:rPr>
                <w:rFonts w:ascii="Arial" w:cs="Arial" w:eastAsia="Arial" w:hAnsi="Arial"/>
                <w:sz w:val="13"/>
                <w:szCs w:val="13"/>
                <w:b w:val="1"/>
                <w:bCs w:val="1"/>
                <w:color w:val="auto"/>
              </w:rPr>
              <w:t>Location</w:t>
            </w:r>
          </w:p>
        </w:tc>
        <w:tc>
          <w:tcPr>
            <w:tcW w:w="80" w:type="dxa"/>
            <w:vAlign w:val="bottom"/>
            <w:vMerge w:val="restart"/>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No. of Units</w:t>
            </w:r>
          </w:p>
        </w:tc>
        <w:tc>
          <w:tcPr>
            <w:tcW w:w="100" w:type="dxa"/>
            <w:vAlign w:val="bottom"/>
            <w:vMerge w:val="restart"/>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Percent</w:t>
            </w:r>
          </w:p>
        </w:tc>
        <w:tc>
          <w:tcPr>
            <w:tcW w:w="13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Primary Fuel Type</w:t>
            </w:r>
          </w:p>
        </w:tc>
        <w:tc>
          <w:tcPr>
            <w:tcW w:w="100" w:type="dxa"/>
            <w:vAlign w:val="bottom"/>
            <w:vMerge w:val="restart"/>
          </w:tcPr>
          <w:p>
            <w:pPr>
              <w:spacing w:after="0"/>
              <w:rPr>
                <w:sz w:val="12"/>
                <w:szCs w:val="12"/>
                <w:color w:val="auto"/>
              </w:rPr>
            </w:pPr>
          </w:p>
        </w:tc>
        <w:tc>
          <w:tcPr>
            <w:tcW w:w="1580" w:type="dxa"/>
            <w:vAlign w:val="bottom"/>
            <w:gridSpan w:val="2"/>
          </w:tcPr>
          <w:p>
            <w:pPr>
              <w:ind w:left="220"/>
              <w:spacing w:after="0"/>
              <w:rPr>
                <w:sz w:val="20"/>
                <w:szCs w:val="20"/>
                <w:color w:val="auto"/>
              </w:rPr>
            </w:pPr>
            <w:r>
              <w:rPr>
                <w:rFonts w:ascii="Arial" w:cs="Arial" w:eastAsia="Arial" w:hAnsi="Arial"/>
                <w:sz w:val="13"/>
                <w:szCs w:val="13"/>
                <w:b w:val="1"/>
                <w:bCs w:val="1"/>
                <w:color w:val="auto"/>
              </w:rPr>
              <w:t>Primary Dispatch</w:t>
            </w: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w w:val="97"/>
              </w:rPr>
              <w:t>Net Generation Capacity</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2"/>
              </w:rPr>
              <w:t>Owned</w:t>
            </w:r>
            <w:r>
              <w:rPr>
                <w:rFonts w:ascii="Arial" w:cs="Arial" w:eastAsia="Arial" w:hAnsi="Arial"/>
                <w:sz w:val="16"/>
                <w:szCs w:val="16"/>
                <w:b w:val="1"/>
                <w:bCs w:val="1"/>
                <w:color w:val="auto"/>
                <w:w w:val="92"/>
                <w:vertAlign w:val="superscript"/>
              </w:rPr>
              <w:t>(a)</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tcPr>
          <w:p>
            <w:pPr>
              <w:ind w:left="540"/>
              <w:spacing w:after="0" w:line="175" w:lineRule="exact"/>
              <w:rPr>
                <w:sz w:val="20"/>
                <w:szCs w:val="20"/>
                <w:color w:val="auto"/>
              </w:rPr>
            </w:pPr>
            <w:r>
              <w:rPr>
                <w:rFonts w:ascii="Arial" w:cs="Arial" w:eastAsia="Arial" w:hAnsi="Arial"/>
                <w:sz w:val="13"/>
                <w:szCs w:val="13"/>
                <w:b w:val="1"/>
                <w:bCs w:val="1"/>
                <w:color w:val="auto"/>
              </w:rPr>
              <w:t>Type</w:t>
            </w:r>
            <w:r>
              <w:rPr>
                <w:rFonts w:ascii="Arial" w:cs="Arial" w:eastAsia="Arial" w:hAnsi="Arial"/>
                <w:sz w:val="16"/>
                <w:szCs w:val="16"/>
                <w:b w:val="1"/>
                <w:bCs w:val="1"/>
                <w:color w:val="auto"/>
                <w:vertAlign w:val="superscript"/>
              </w:rPr>
              <w:t>(b)</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461"/>
              <w:spacing w:after="0" w:line="175" w:lineRule="exact"/>
              <w:rPr>
                <w:sz w:val="20"/>
                <w:szCs w:val="20"/>
                <w:color w:val="auto"/>
              </w:rPr>
            </w:pPr>
            <w:r>
              <w:rPr>
                <w:rFonts w:ascii="Arial" w:cs="Arial" w:eastAsia="Arial" w:hAnsi="Arial"/>
                <w:sz w:val="13"/>
                <w:szCs w:val="13"/>
                <w:b w:val="1"/>
                <w:bCs w:val="1"/>
                <w:color w:val="auto"/>
              </w:rPr>
              <w:t>(MWs)</w:t>
            </w:r>
            <w:r>
              <w:rPr>
                <w:rFonts w:ascii="Arial" w:cs="Arial" w:eastAsia="Arial" w:hAnsi="Arial"/>
                <w:sz w:val="16"/>
                <w:szCs w:val="16"/>
                <w:b w:val="1"/>
                <w:bCs w:val="1"/>
                <w:color w:val="auto"/>
                <w:vertAlign w:val="superscript"/>
              </w:rPr>
              <w:t>(c)</w:t>
            </w:r>
          </w:p>
        </w:tc>
        <w:tc>
          <w:tcPr>
            <w:tcW w:w="0" w:type="dxa"/>
            <w:vAlign w:val="bottom"/>
          </w:tcPr>
          <w:p>
            <w:pPr>
              <w:spacing w:after="0"/>
              <w:rPr>
                <w:sz w:val="1"/>
                <w:szCs w:val="1"/>
                <w:color w:val="auto"/>
              </w:rPr>
            </w:pPr>
          </w:p>
        </w:tc>
      </w:tr>
      <w:tr>
        <w:trPr>
          <w:trHeight w:val="23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Calpine</w:t>
            </w:r>
          </w:p>
        </w:tc>
        <w:tc>
          <w:tcPr>
            <w:tcW w:w="2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Deer Park</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Deer Park, TX</w:t>
            </w: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Bethlehem</w:t>
            </w:r>
            <w:r>
              <w:rPr>
                <w:rFonts w:ascii="Arial" w:cs="Arial" w:eastAsia="Arial" w:hAnsi="Arial"/>
                <w:sz w:val="21"/>
                <w:szCs w:val="21"/>
                <w:color w:val="auto"/>
                <w:vertAlign w:val="superscript"/>
              </w:rPr>
              <w:t>(d)</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Bethlehem, PA</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Hay Road</w:t>
            </w:r>
            <w:r>
              <w:rPr>
                <w:rFonts w:ascii="Arial" w:cs="Arial" w:eastAsia="Arial" w:hAnsi="Arial"/>
                <w:sz w:val="21"/>
                <w:szCs w:val="21"/>
                <w:color w:val="auto"/>
                <w:vertAlign w:val="superscript"/>
              </w:rPr>
              <w:t>(d)</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Wilmington, DE</w:t>
            </w: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4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Guadalupe</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New Braunfels, TX</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Greenfield</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Ontario, Canada</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Baytown</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Baytown, TX</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Delta</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Pittsburg, CA</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Channel</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Houston, TX</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York 2</w:t>
            </w:r>
            <w:r>
              <w:rPr>
                <w:rFonts w:ascii="Arial" w:cs="Arial" w:eastAsia="Arial" w:hAnsi="Arial"/>
                <w:sz w:val="21"/>
                <w:szCs w:val="21"/>
                <w:color w:val="auto"/>
                <w:vertAlign w:val="superscript"/>
              </w:rPr>
              <w:t>(d)</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Delta, PA</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43"/>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Morgan</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Decatur, AL</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Thad Hill</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Clifton, TX</w:t>
            </w: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Pasadena</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Pasadena, TX</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Freestone</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Fairfield, TX</w:t>
            </w: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Pastoria</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Arvin, CA</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28"/>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Magic Valley</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Edinburg, TX</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ind w:left="56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auto"/>
              </w:rPr>
              <w:t>Station</w:t>
            </w:r>
          </w:p>
        </w:tc>
        <w:tc>
          <w:tcPr>
            <w:tcW w:w="100" w:type="dxa"/>
            <w:vAlign w:val="bottom"/>
          </w:tcPr>
          <w:p>
            <w:pPr>
              <w:spacing w:after="0"/>
              <w:rPr>
                <w:sz w:val="16"/>
                <w:szCs w:val="16"/>
                <w:color w:val="auto"/>
              </w:rPr>
            </w:pPr>
          </w:p>
        </w:tc>
        <w:tc>
          <w:tcPr>
            <w:tcW w:w="2220" w:type="dxa"/>
            <w:vAlign w:val="bottom"/>
            <w:tcBorders>
              <w:bottom w:val="single" w:sz="8" w:color="auto"/>
            </w:tcBorders>
          </w:tcPr>
          <w:p>
            <w:pPr>
              <w:jc w:val="right"/>
              <w:ind w:right="779"/>
              <w:spacing w:after="0"/>
              <w:rPr>
                <w:sz w:val="20"/>
                <w:szCs w:val="20"/>
                <w:color w:val="auto"/>
              </w:rPr>
            </w:pPr>
            <w:r>
              <w:rPr>
                <w:rFonts w:ascii="Arial" w:cs="Arial" w:eastAsia="Arial" w:hAnsi="Arial"/>
                <w:sz w:val="13"/>
                <w:szCs w:val="13"/>
                <w:b w:val="1"/>
                <w:bCs w:val="1"/>
                <w:color w:val="auto"/>
              </w:rPr>
              <w:t>Location</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No. of Units</w:t>
            </w:r>
          </w:p>
        </w:tc>
      </w:tr>
      <w:tr>
        <w:trPr>
          <w:trHeight w:val="22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Granite Ridge</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Londonderry , NH</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Hermiston</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Hermiston, OR</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Metcalf</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Coyote, CA</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Russell City</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Hayward, CA</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1"/>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Jack A. Fusco</w:t>
            </w:r>
            <w:r>
              <w:rPr>
                <w:rFonts w:ascii="Arial" w:cs="Arial" w:eastAsia="Arial" w:hAnsi="Arial"/>
                <w:sz w:val="21"/>
                <w:szCs w:val="21"/>
                <w:color w:val="auto"/>
                <w:vertAlign w:val="superscript"/>
              </w:rPr>
              <w:t>(d)</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Richmond, TX</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Otay Mesa</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San Diego, CA</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Sutter</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Yuba City, CA</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Los Medanos</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Pittsburg, CA</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1"/>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York 1</w:t>
            </w:r>
            <w:r>
              <w:rPr>
                <w:rFonts w:ascii="Arial" w:cs="Arial" w:eastAsia="Arial" w:hAnsi="Arial"/>
                <w:sz w:val="21"/>
                <w:szCs w:val="21"/>
                <w:color w:val="auto"/>
                <w:vertAlign w:val="superscript"/>
              </w:rPr>
              <w:t>(d)</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Delta, PA</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South Point</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Mohave Valley, AZ</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Westbrook</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Westbrook, ME</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Quail Run</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Odessa, TX</w:t>
            </w: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Corpus Christi</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Corpus Christi, TX</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Texas City</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Texas City, TX</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Hidalgo</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Edinburg, TX</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Los Esteros</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San Jose, CA</w:t>
            </w: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Pine Bluff</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Pine Bluff, AR</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Gilroy Cogeneration</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Gilroy, CA</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King City Cogeneration</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King City, CA</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Bethpage 3</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Levittown, NY</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Bethpage</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Bethpage, NY</w:t>
            </w: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Stony Brook</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Stony Brook, NY</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Agnews</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San Jose, CA</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Zion</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Zion, IL</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Cumberland</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Milleville, NJ</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Gilroy</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Gilroy, CA</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Sherman Avenue</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Vineland, NJ</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Wolfskill</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Fairfield, CA</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Bethpage Peaker</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Bethpage, NY</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Yuba City</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Yuba City, CA</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Feather River</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Yuba City, CA</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Creed</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Suisun City, CA</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Lambie</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Suisun City, CA</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Goose Haven</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Suisun City, CA</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Riverview</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Antioch, CA</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King City Peaking</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King City, CA</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Delaware City</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New Castle, DE</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West</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Wilmington, DE</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Fore River</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Weymouth, MA</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1"/>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Edge Moor</w:t>
            </w:r>
            <w:r>
              <w:rPr>
                <w:rFonts w:ascii="Arial" w:cs="Arial" w:eastAsia="Arial" w:hAnsi="Arial"/>
                <w:sz w:val="21"/>
                <w:szCs w:val="21"/>
                <w:color w:val="auto"/>
                <w:vertAlign w:val="superscript"/>
              </w:rPr>
              <w:t>(d)</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Wilmington, DE</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Christiana</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Wilmington, DE</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Tasley</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Accomac, VA</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Bayview</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Cape Charles, VA</w:t>
            </w: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Crisfield</w:t>
            </w:r>
          </w:p>
        </w:tc>
        <w:tc>
          <w:tcPr>
            <w:tcW w:w="2300" w:type="dxa"/>
            <w:vAlign w:val="bottom"/>
            <w:gridSpan w:val="2"/>
          </w:tcPr>
          <w:p>
            <w:pPr>
              <w:jc w:val="right"/>
              <w:ind w:right="100"/>
              <w:spacing w:after="0"/>
              <w:rPr>
                <w:sz w:val="20"/>
                <w:szCs w:val="20"/>
                <w:color w:val="auto"/>
              </w:rPr>
            </w:pPr>
            <w:r>
              <w:rPr>
                <w:rFonts w:ascii="Arial" w:cs="Arial" w:eastAsia="Arial" w:hAnsi="Arial"/>
                <w:sz w:val="16"/>
                <w:szCs w:val="16"/>
                <w:color w:val="auto"/>
              </w:rPr>
              <w:t>Crisfield, MD</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-6470015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-6161405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-5852795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-5544185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-5235575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-4926965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-4618355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-4309745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-4001135</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-3692525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-3383915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-3075305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-2766695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-2458085</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-2149475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-1840865</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-1532890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-1223645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-6787515</wp:posOffset>
            </wp:positionV>
            <wp:extent cx="713232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Percent</w:t>
      </w:r>
    </w:p>
    <w:p>
      <w:pPr>
        <w:spacing w:after="0"/>
        <w:rPr>
          <w:sz w:val="20"/>
          <w:szCs w:val="20"/>
          <w:color w:val="auto"/>
        </w:rPr>
      </w:pPr>
      <w:r>
        <w:rPr>
          <w:rFonts w:ascii="Arial" w:cs="Arial" w:eastAsia="Arial" w:hAnsi="Arial"/>
          <w:sz w:val="13"/>
          <w:szCs w:val="13"/>
          <w:b w:val="1"/>
          <w:bCs w:val="1"/>
          <w:color w:val="auto"/>
        </w:rPr>
        <w:t>Owned</w:t>
      </w:r>
      <w:r>
        <w:rPr>
          <w:rFonts w:ascii="Arial" w:cs="Arial" w:eastAsia="Arial" w:hAnsi="Arial"/>
          <w:sz w:val="16"/>
          <w:szCs w:val="16"/>
          <w:b w:val="1"/>
          <w:bCs w:val="1"/>
          <w:color w:val="auto"/>
          <w:vertAlign w:val="superscript"/>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6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Primary Fuel Type</w:t>
            </w:r>
          </w:p>
        </w:tc>
        <w:tc>
          <w:tcPr>
            <w:tcW w:w="100" w:type="dxa"/>
            <w:vAlign w:val="bottom"/>
            <w:vMerge w:val="restart"/>
          </w:tcPr>
          <w:p>
            <w:pPr>
              <w:spacing w:after="0"/>
              <w:rPr>
                <w:sz w:val="13"/>
                <w:szCs w:val="13"/>
                <w:color w:val="auto"/>
              </w:rPr>
            </w:pPr>
          </w:p>
        </w:tc>
        <w:tc>
          <w:tcPr>
            <w:tcW w:w="1580" w:type="dxa"/>
            <w:vAlign w:val="bottom"/>
            <w:gridSpan w:val="2"/>
          </w:tcPr>
          <w:p>
            <w:pPr>
              <w:ind w:left="220"/>
              <w:spacing w:after="0"/>
              <w:rPr>
                <w:sz w:val="20"/>
                <w:szCs w:val="20"/>
                <w:color w:val="auto"/>
              </w:rPr>
            </w:pPr>
            <w:r>
              <w:rPr>
                <w:rFonts w:ascii="Arial" w:cs="Arial" w:eastAsia="Arial" w:hAnsi="Arial"/>
                <w:sz w:val="13"/>
                <w:szCs w:val="13"/>
                <w:b w:val="1"/>
                <w:bCs w:val="1"/>
                <w:color w:val="auto"/>
              </w:rPr>
              <w:t>Primary Dispatch</w:t>
            </w: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w w:val="97"/>
              </w:rPr>
              <w:t>Net Generation Capacity</w:t>
            </w:r>
          </w:p>
        </w:tc>
        <w:tc>
          <w:tcPr>
            <w:tcW w:w="0" w:type="dxa"/>
            <w:vAlign w:val="bottom"/>
          </w:tcPr>
          <w:p>
            <w:pPr>
              <w:spacing w:after="0"/>
              <w:rPr>
                <w:sz w:val="1"/>
                <w:szCs w:val="1"/>
                <w:color w:val="auto"/>
              </w:rPr>
            </w:pPr>
          </w:p>
        </w:tc>
      </w:tr>
      <w:tr>
        <w:trPr>
          <w:trHeight w:val="175"/>
        </w:trPr>
        <w:tc>
          <w:tcPr>
            <w:tcW w:w="13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80" w:type="dxa"/>
            <w:vAlign w:val="bottom"/>
            <w:tcBorders>
              <w:bottom w:val="single" w:sz="8" w:color="auto"/>
            </w:tcBorders>
          </w:tcPr>
          <w:p>
            <w:pPr>
              <w:jc w:val="right"/>
              <w:ind w:right="460"/>
              <w:spacing w:after="0" w:line="175" w:lineRule="exact"/>
              <w:rPr>
                <w:sz w:val="20"/>
                <w:szCs w:val="20"/>
                <w:color w:val="auto"/>
              </w:rPr>
            </w:pPr>
            <w:r>
              <w:rPr>
                <w:rFonts w:ascii="Arial" w:cs="Arial" w:eastAsia="Arial" w:hAnsi="Arial"/>
                <w:sz w:val="13"/>
                <w:szCs w:val="13"/>
                <w:b w:val="1"/>
                <w:bCs w:val="1"/>
                <w:color w:val="auto"/>
              </w:rPr>
              <w:t>Type</w:t>
            </w:r>
            <w:r>
              <w:rPr>
                <w:rFonts w:ascii="Arial" w:cs="Arial" w:eastAsia="Arial" w:hAnsi="Arial"/>
                <w:sz w:val="16"/>
                <w:szCs w:val="16"/>
                <w:b w:val="1"/>
                <w:bCs w:val="1"/>
                <w:color w:val="auto"/>
                <w:vertAlign w:val="superscript"/>
              </w:rPr>
              <w:t>(b)</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460"/>
              <w:spacing w:after="0" w:line="175" w:lineRule="exact"/>
              <w:rPr>
                <w:sz w:val="20"/>
                <w:szCs w:val="20"/>
                <w:color w:val="auto"/>
              </w:rPr>
            </w:pPr>
            <w:r>
              <w:rPr>
                <w:rFonts w:ascii="Arial" w:cs="Arial" w:eastAsia="Arial" w:hAnsi="Arial"/>
                <w:sz w:val="13"/>
                <w:szCs w:val="13"/>
                <w:b w:val="1"/>
                <w:bCs w:val="1"/>
                <w:color w:val="auto"/>
              </w:rPr>
              <w:t>(MWs)</w:t>
            </w:r>
            <w:r>
              <w:rPr>
                <w:rFonts w:ascii="Arial" w:cs="Arial" w:eastAsia="Arial" w:hAnsi="Arial"/>
                <w:sz w:val="16"/>
                <w:szCs w:val="16"/>
                <w:b w:val="1"/>
                <w:bCs w:val="1"/>
                <w:color w:val="auto"/>
                <w:vertAlign w:val="superscript"/>
              </w:rPr>
              <w:t>(c)</w:t>
            </w:r>
          </w:p>
        </w:tc>
        <w:tc>
          <w:tcPr>
            <w:tcW w:w="0" w:type="dxa"/>
            <w:vAlign w:val="bottom"/>
          </w:tcPr>
          <w:p>
            <w:pPr>
              <w:spacing w:after="0"/>
              <w:rPr>
                <w:sz w:val="1"/>
                <w:szCs w:val="1"/>
                <w:color w:val="auto"/>
              </w:rPr>
            </w:pPr>
          </w:p>
        </w:tc>
      </w:tr>
      <w:tr>
        <w:trPr>
          <w:trHeight w:val="221"/>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Oil/Gas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Intermediate</w:t>
            </w:r>
          </w:p>
        </w:tc>
        <w:tc>
          <w:tcPr>
            <w:tcW w:w="1540" w:type="dxa"/>
            <w:vAlign w:val="bottom"/>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Oil</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Oil</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Oil</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Oil</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Oil</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5580" w:space="280"/>
            <w:col w:w="640" w:space="160"/>
            <w:col w:w="4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Station</w:t>
            </w:r>
          </w:p>
        </w:tc>
        <w:tc>
          <w:tcPr>
            <w:tcW w:w="100" w:type="dxa"/>
            <w:vAlign w:val="bottom"/>
            <w:vMerge w:val="restart"/>
          </w:tcPr>
          <w:p>
            <w:pPr>
              <w:spacing w:after="0"/>
              <w:rPr>
                <w:sz w:val="13"/>
                <w:szCs w:val="13"/>
                <w:color w:val="auto"/>
              </w:rPr>
            </w:pPr>
          </w:p>
        </w:tc>
        <w:tc>
          <w:tcPr>
            <w:tcW w:w="2200" w:type="dxa"/>
            <w:vAlign w:val="bottom"/>
            <w:vMerge w:val="restart"/>
          </w:tcPr>
          <w:p>
            <w:pPr>
              <w:jc w:val="right"/>
              <w:ind w:right="760"/>
              <w:spacing w:after="0"/>
              <w:rPr>
                <w:sz w:val="20"/>
                <w:szCs w:val="20"/>
                <w:color w:val="auto"/>
              </w:rPr>
            </w:pPr>
            <w:r>
              <w:rPr>
                <w:rFonts w:ascii="Arial" w:cs="Arial" w:eastAsia="Arial" w:hAnsi="Arial"/>
                <w:sz w:val="13"/>
                <w:szCs w:val="13"/>
                <w:b w:val="1"/>
                <w:bCs w:val="1"/>
                <w:color w:val="auto"/>
              </w:rPr>
              <w:t>Location</w:t>
            </w:r>
          </w:p>
        </w:tc>
        <w:tc>
          <w:tcPr>
            <w:tcW w:w="100" w:type="dxa"/>
            <w:vAlign w:val="bottom"/>
            <w:vMerge w:val="restart"/>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5"/>
              </w:rPr>
              <w:t>No. of Units</w:t>
            </w:r>
          </w:p>
        </w:tc>
        <w:tc>
          <w:tcPr>
            <w:tcW w:w="100" w:type="dxa"/>
            <w:vAlign w:val="bottom"/>
            <w:vMerge w:val="restart"/>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Percent</w:t>
            </w:r>
          </w:p>
        </w:tc>
        <w:tc>
          <w:tcPr>
            <w:tcW w:w="1380" w:type="dxa"/>
            <w:vAlign w:val="bottom"/>
            <w:vMerge w:val="restart"/>
          </w:tcPr>
          <w:p>
            <w:pPr>
              <w:jc w:val="right"/>
              <w:ind w:right="60"/>
              <w:spacing w:after="0"/>
              <w:rPr>
                <w:sz w:val="20"/>
                <w:szCs w:val="20"/>
                <w:color w:val="auto"/>
              </w:rPr>
            </w:pPr>
            <w:r>
              <w:rPr>
                <w:rFonts w:ascii="Arial" w:cs="Arial" w:eastAsia="Arial" w:hAnsi="Arial"/>
                <w:sz w:val="13"/>
                <w:szCs w:val="13"/>
                <w:b w:val="1"/>
                <w:bCs w:val="1"/>
                <w:color w:val="auto"/>
              </w:rPr>
              <w:t>Primary Fuel Type</w:t>
            </w:r>
          </w:p>
        </w:tc>
        <w:tc>
          <w:tcPr>
            <w:tcW w:w="100" w:type="dxa"/>
            <w:vAlign w:val="bottom"/>
            <w:vMerge w:val="restart"/>
          </w:tcPr>
          <w:p>
            <w:pPr>
              <w:spacing w:after="0"/>
              <w:rPr>
                <w:sz w:val="13"/>
                <w:szCs w:val="13"/>
                <w:color w:val="auto"/>
              </w:rPr>
            </w:pPr>
          </w:p>
        </w:tc>
        <w:tc>
          <w:tcPr>
            <w:tcW w:w="1580" w:type="dxa"/>
            <w:vAlign w:val="bottom"/>
            <w:gridSpan w:val="2"/>
          </w:tcPr>
          <w:p>
            <w:pPr>
              <w:ind w:left="220"/>
              <w:spacing w:after="0"/>
              <w:rPr>
                <w:sz w:val="20"/>
                <w:szCs w:val="20"/>
                <w:color w:val="auto"/>
              </w:rPr>
            </w:pPr>
            <w:r>
              <w:rPr>
                <w:rFonts w:ascii="Arial" w:cs="Arial" w:eastAsia="Arial" w:hAnsi="Arial"/>
                <w:sz w:val="13"/>
                <w:szCs w:val="13"/>
                <w:b w:val="1"/>
                <w:bCs w:val="1"/>
                <w:color w:val="auto"/>
              </w:rPr>
              <w:t>Primary Dispatch</w:t>
            </w: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w w:val="97"/>
              </w:rPr>
              <w:t>Net Generation Capacity</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2"/>
              </w:rPr>
              <w:t>Owned</w:t>
            </w:r>
            <w:r>
              <w:rPr>
                <w:rFonts w:ascii="Arial" w:cs="Arial" w:eastAsia="Arial" w:hAnsi="Arial"/>
                <w:sz w:val="16"/>
                <w:szCs w:val="16"/>
                <w:b w:val="1"/>
                <w:bCs w:val="1"/>
                <w:color w:val="auto"/>
                <w:w w:val="92"/>
                <w:vertAlign w:val="superscript"/>
              </w:rPr>
              <w:t>(a)</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tcPr>
          <w:p>
            <w:pPr>
              <w:jc w:val="right"/>
              <w:ind w:right="461"/>
              <w:spacing w:after="0" w:line="175" w:lineRule="exact"/>
              <w:rPr>
                <w:sz w:val="20"/>
                <w:szCs w:val="20"/>
                <w:color w:val="auto"/>
              </w:rPr>
            </w:pPr>
            <w:r>
              <w:rPr>
                <w:rFonts w:ascii="Arial" w:cs="Arial" w:eastAsia="Arial" w:hAnsi="Arial"/>
                <w:sz w:val="13"/>
                <w:szCs w:val="13"/>
                <w:b w:val="1"/>
                <w:bCs w:val="1"/>
                <w:color w:val="auto"/>
              </w:rPr>
              <w:t>Type</w:t>
            </w:r>
            <w:r>
              <w:rPr>
                <w:rFonts w:ascii="Arial" w:cs="Arial" w:eastAsia="Arial" w:hAnsi="Arial"/>
                <w:sz w:val="16"/>
                <w:szCs w:val="16"/>
                <w:b w:val="1"/>
                <w:bCs w:val="1"/>
                <w:color w:val="auto"/>
                <w:vertAlign w:val="superscript"/>
              </w:rPr>
              <w:t>(b)</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461"/>
              <w:spacing w:after="0" w:line="175" w:lineRule="exact"/>
              <w:rPr>
                <w:sz w:val="20"/>
                <w:szCs w:val="20"/>
                <w:color w:val="auto"/>
              </w:rPr>
            </w:pPr>
            <w:r>
              <w:rPr>
                <w:rFonts w:ascii="Arial" w:cs="Arial" w:eastAsia="Arial" w:hAnsi="Arial"/>
                <w:sz w:val="13"/>
                <w:szCs w:val="13"/>
                <w:b w:val="1"/>
                <w:bCs w:val="1"/>
                <w:color w:val="auto"/>
              </w:rPr>
              <w:t>(MWs)</w:t>
            </w:r>
            <w:r>
              <w:rPr>
                <w:rFonts w:ascii="Arial" w:cs="Arial" w:eastAsia="Arial" w:hAnsi="Arial"/>
                <w:sz w:val="16"/>
                <w:szCs w:val="16"/>
                <w:b w:val="1"/>
                <w:bCs w:val="1"/>
                <w:color w:val="auto"/>
                <w:vertAlign w:val="superscript"/>
              </w:rPr>
              <w:t>(c)</w:t>
            </w:r>
          </w:p>
        </w:tc>
        <w:tc>
          <w:tcPr>
            <w:tcW w:w="0" w:type="dxa"/>
            <w:vAlign w:val="bottom"/>
          </w:tcPr>
          <w:p>
            <w:pPr>
              <w:spacing w:after="0"/>
              <w:rPr>
                <w:sz w:val="1"/>
                <w:szCs w:val="1"/>
                <w:color w:val="auto"/>
              </w:rPr>
            </w:pPr>
          </w:p>
        </w:tc>
      </w:tr>
      <w:tr>
        <w:trPr>
          <w:trHeight w:val="237"/>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Nova Project I-V</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Menifee, CA</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Battery Storage</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Santa Ana</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Santa Ana, CA</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Battery Storage</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West Ford Flat</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Sonoma County, CA</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Battery Storage</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Bear Canyon</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Sonoma County, CA</w:t>
            </w: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Battery Storage</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McCabe 5 &amp; 6</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Sonoma County, CA</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Ridge Line 7 &amp; 8</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Sonoma County, CA</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Eagle Rock</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Sonoma County, CA</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Calistoga</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Lake County, CA</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Big Geysers</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Lake County, CA</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Lake View</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Sonoma County, CA</w:t>
            </w: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Quicksilver</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Lake County, CA</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Sonoma</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Sonoma County, CA</w:t>
            </w: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Cobb Creek</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Sonoma County, CA</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Socrates</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Sonoma County, CA</w:t>
            </w: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Sulphur Springs</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Sonoma County, CA</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5"/>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Grant</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Sonoma County, CA</w:t>
            </w: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5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Aidlin</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Sonoma County, CA</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Geothermal</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Baseload</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Vineland Solar</w:t>
            </w:r>
          </w:p>
        </w:tc>
        <w:tc>
          <w:tcPr>
            <w:tcW w:w="23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Vineland, NJ</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Solar</w:t>
            </w:r>
          </w:p>
        </w:tc>
        <w:tc>
          <w:tcPr>
            <w:tcW w:w="15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Intermittent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8"/>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Calpine</w:t>
            </w:r>
          </w:p>
        </w:tc>
        <w:tc>
          <w:tcPr>
            <w:tcW w:w="2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27,689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100%, unless otherwise indicated.</w:t>
      </w:r>
    </w:p>
    <w:p>
      <w:pPr>
        <w:spacing w:after="0" w:line="14" w:lineRule="exact"/>
        <w:rPr>
          <w:rFonts w:ascii="Arial" w:cs="Arial" w:eastAsia="Arial" w:hAnsi="Arial"/>
          <w:sz w:val="14"/>
          <w:szCs w:val="14"/>
          <w:color w:val="auto"/>
        </w:rPr>
      </w:pPr>
    </w:p>
    <w:p>
      <w:pPr>
        <w:jc w:val="both"/>
        <w:ind w:left="340" w:hanging="332"/>
        <w:spacing w:after="0" w:line="256" w:lineRule="auto"/>
        <w:tabs>
          <w:tab w:leader="none" w:pos="327"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Baseload units are those that normally operate to take all or part of the minimum continuous load of a system and, consequently, produce electricity at an essentially constant rate. Intermittent units are those with output controlled by the natural variability of the energy resource rather than dispatched based on system requirements. Intermediate units are those that normally operate to take load of a system during the daytime higher load hours and, consequently, produce electricity by cycling on and off daily. Peaking units consist of lower-efficiency, quick response steam units, gas turbines and diesels normally used during the maximum load periods.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Net generation capacity is stated at proportionate ownership share. All facilities reflect a summer rating.</w:t>
      </w:r>
    </w:p>
    <w:p>
      <w:pPr>
        <w:spacing w:after="0" w:line="14" w:lineRule="exact"/>
        <w:rPr>
          <w:rFonts w:ascii="Arial" w:cs="Arial" w:eastAsia="Arial" w:hAnsi="Arial"/>
          <w:sz w:val="14"/>
          <w:szCs w:val="14"/>
          <w:color w:val="auto"/>
        </w:rPr>
      </w:pPr>
    </w:p>
    <w:p>
      <w:pPr>
        <w:jc w:val="both"/>
        <w:ind w:left="340" w:hanging="332"/>
        <w:spacing w:after="0" w:line="272" w:lineRule="auto"/>
        <w:tabs>
          <w:tab w:leader="none" w:pos="327"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stations are pending divestiture as part of the regulatory requirements for the acquisition of Calpine that closed in January 2026 and the associated balances are classified as Assets held for sale in the Consolidated Balance Sheets. See Note 2 — Mergers, Acquisitions, and Dispositions of the Combined Notes to Consolidated Financial Statements for additional information.</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net generation capability available for operation at any time may be less due to regulatory restrictions, transmission congestion, fuel restrictions, efficiency of cooling facilities, level of water supplies, or generating units being temporarily out of service for inspection, maintenance, refueling, repairs, or modifications required by regulatory authorities.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presents our estimated net generation capacity by station for projects under construction at March 31, 2026, each of which is wholly owned by us unless otherwise noted.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vMerge w:val="restart"/>
          </w:tcPr>
          <w:p>
            <w:pPr>
              <w:ind w:left="1200"/>
              <w:spacing w:after="0"/>
              <w:rPr>
                <w:sz w:val="20"/>
                <w:szCs w:val="20"/>
                <w:color w:val="auto"/>
              </w:rPr>
            </w:pPr>
            <w:r>
              <w:rPr>
                <w:rFonts w:ascii="Arial" w:cs="Arial" w:eastAsia="Arial" w:hAnsi="Arial"/>
                <w:sz w:val="13"/>
                <w:szCs w:val="13"/>
                <w:b w:val="1"/>
                <w:bCs w:val="1"/>
                <w:color w:val="auto"/>
              </w:rPr>
              <w:t>Station</w:t>
            </w:r>
          </w:p>
        </w:tc>
        <w:tc>
          <w:tcPr>
            <w:tcW w:w="100" w:type="dxa"/>
            <w:vAlign w:val="bottom"/>
            <w:vMerge w:val="restart"/>
          </w:tcPr>
          <w:p>
            <w:pPr>
              <w:spacing w:after="0"/>
              <w:rPr>
                <w:sz w:val="13"/>
                <w:szCs w:val="13"/>
                <w:color w:val="auto"/>
              </w:rPr>
            </w:pPr>
          </w:p>
        </w:tc>
        <w:tc>
          <w:tcPr>
            <w:tcW w:w="2220" w:type="dxa"/>
            <w:vAlign w:val="bottom"/>
            <w:vMerge w:val="restart"/>
          </w:tcPr>
          <w:p>
            <w:pPr>
              <w:jc w:val="right"/>
              <w:ind w:right="783"/>
              <w:spacing w:after="0"/>
              <w:rPr>
                <w:sz w:val="20"/>
                <w:szCs w:val="20"/>
                <w:color w:val="auto"/>
              </w:rPr>
            </w:pPr>
            <w:r>
              <w:rPr>
                <w:rFonts w:ascii="Arial" w:cs="Arial" w:eastAsia="Arial" w:hAnsi="Arial"/>
                <w:sz w:val="13"/>
                <w:szCs w:val="13"/>
                <w:b w:val="1"/>
                <w:bCs w:val="1"/>
                <w:color w:val="auto"/>
              </w:rPr>
              <w:t>Location</w:t>
            </w:r>
          </w:p>
        </w:tc>
        <w:tc>
          <w:tcPr>
            <w:tcW w:w="100" w:type="dxa"/>
            <w:vAlign w:val="bottom"/>
            <w:vMerge w:val="restart"/>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5"/>
              </w:rPr>
              <w:t>No. of Units</w:t>
            </w:r>
          </w:p>
        </w:tc>
        <w:tc>
          <w:tcPr>
            <w:tcW w:w="100" w:type="dxa"/>
            <w:vAlign w:val="bottom"/>
            <w:vMerge w:val="restart"/>
          </w:tcPr>
          <w:p>
            <w:pPr>
              <w:spacing w:after="0"/>
              <w:rPr>
                <w:sz w:val="13"/>
                <w:szCs w:val="13"/>
                <w:color w:val="auto"/>
              </w:rPr>
            </w:pPr>
          </w:p>
        </w:tc>
        <w:tc>
          <w:tcPr>
            <w:tcW w:w="1740" w:type="dxa"/>
            <w:vAlign w:val="bottom"/>
            <w:vMerge w:val="restart"/>
          </w:tcPr>
          <w:p>
            <w:pPr>
              <w:jc w:val="right"/>
              <w:ind w:right="263"/>
              <w:spacing w:after="0"/>
              <w:rPr>
                <w:sz w:val="20"/>
                <w:szCs w:val="20"/>
                <w:color w:val="auto"/>
              </w:rPr>
            </w:pPr>
            <w:r>
              <w:rPr>
                <w:rFonts w:ascii="Arial" w:cs="Arial" w:eastAsia="Arial" w:hAnsi="Arial"/>
                <w:sz w:val="13"/>
                <w:szCs w:val="13"/>
                <w:b w:val="1"/>
                <w:bCs w:val="1"/>
                <w:color w:val="auto"/>
              </w:rPr>
              <w:t>Primary Fuel Type</w:t>
            </w:r>
          </w:p>
        </w:tc>
        <w:tc>
          <w:tcPr>
            <w:tcW w:w="80" w:type="dxa"/>
            <w:vAlign w:val="bottom"/>
            <w:vMerge w:val="restart"/>
          </w:tcPr>
          <w:p>
            <w:pPr>
              <w:spacing w:after="0"/>
              <w:rPr>
                <w:sz w:val="13"/>
                <w:szCs w:val="13"/>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3"/>
                <w:szCs w:val="13"/>
                <w:b w:val="1"/>
                <w:bCs w:val="1"/>
                <w:color w:val="auto"/>
              </w:rPr>
              <w:t>Primary Dispatch Type</w:t>
            </w:r>
          </w:p>
        </w:tc>
        <w:tc>
          <w:tcPr>
            <w:tcW w:w="100" w:type="dxa"/>
            <w:vAlign w:val="bottom"/>
            <w:vMerge w:val="restart"/>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3"/>
                <w:szCs w:val="13"/>
                <w:b w:val="1"/>
                <w:bCs w:val="1"/>
                <w:color w:val="auto"/>
                <w:w w:val="98"/>
              </w:rPr>
              <w:t>Estimated Net Generation</w:t>
            </w:r>
          </w:p>
        </w:tc>
        <w:tc>
          <w:tcPr>
            <w:tcW w:w="0" w:type="dxa"/>
            <w:vAlign w:val="bottom"/>
          </w:tcPr>
          <w:p>
            <w:pPr>
              <w:spacing w:after="0"/>
              <w:rPr>
                <w:sz w:val="1"/>
                <w:szCs w:val="1"/>
                <w:color w:val="auto"/>
              </w:rPr>
            </w:pPr>
          </w:p>
        </w:tc>
      </w:tr>
      <w:tr>
        <w:trPr>
          <w:trHeight w:val="180"/>
        </w:trPr>
        <w:tc>
          <w:tcPr>
            <w:tcW w:w="2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20" w:type="dxa"/>
            <w:vAlign w:val="bottom"/>
            <w:tcBorders>
              <w:bottom w:val="single" w:sz="8" w:color="auto"/>
            </w:tcBorders>
          </w:tcPr>
          <w:p>
            <w:pPr>
              <w:jc w:val="right"/>
              <w:ind w:right="224"/>
              <w:spacing w:after="0" w:line="180" w:lineRule="exact"/>
              <w:rPr>
                <w:sz w:val="20"/>
                <w:szCs w:val="20"/>
                <w:color w:val="auto"/>
              </w:rPr>
            </w:pPr>
            <w:r>
              <w:rPr>
                <w:rFonts w:ascii="Arial" w:cs="Arial" w:eastAsia="Arial" w:hAnsi="Arial"/>
                <w:sz w:val="13"/>
                <w:szCs w:val="13"/>
                <w:b w:val="1"/>
                <w:bCs w:val="1"/>
                <w:color w:val="auto"/>
              </w:rPr>
              <w:t>Capacity (MWs)</w:t>
            </w:r>
            <w:r>
              <w:rPr>
                <w:rFonts w:ascii="Arial" w:cs="Arial" w:eastAsia="Arial" w:hAnsi="Arial"/>
                <w:sz w:val="16"/>
                <w:szCs w:val="16"/>
                <w:b w:val="1"/>
                <w:bCs w:val="1"/>
                <w:color w:val="auto"/>
                <w:vertAlign w:val="superscript"/>
              </w:rPr>
              <w:t>(a)</w:t>
            </w:r>
          </w:p>
        </w:tc>
        <w:tc>
          <w:tcPr>
            <w:tcW w:w="0" w:type="dxa"/>
            <w:vAlign w:val="bottom"/>
          </w:tcPr>
          <w:p>
            <w:pPr>
              <w:spacing w:after="0"/>
              <w:rPr>
                <w:sz w:val="1"/>
                <w:szCs w:val="1"/>
                <w:color w:val="auto"/>
              </w:rPr>
            </w:pPr>
          </w:p>
        </w:tc>
      </w:tr>
      <w:tr>
        <w:trPr>
          <w:trHeight w:val="236"/>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Crane</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Middletown, PA</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Uranium</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Baseload</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Pin Oak Creek</w:t>
            </w:r>
            <w:r>
              <w:rPr>
                <w:rFonts w:ascii="Arial" w:cs="Arial" w:eastAsia="Arial" w:hAnsi="Arial"/>
                <w:sz w:val="21"/>
                <w:szCs w:val="21"/>
                <w:color w:val="auto"/>
                <w:vertAlign w:val="superscript"/>
              </w:rPr>
              <w:t>(b)</w:t>
            </w:r>
          </w:p>
        </w:tc>
        <w:tc>
          <w:tcPr>
            <w:tcW w:w="2320" w:type="dxa"/>
            <w:vAlign w:val="bottom"/>
            <w:gridSpan w:val="2"/>
          </w:tcPr>
          <w:p>
            <w:pPr>
              <w:jc w:val="right"/>
              <w:ind w:right="120"/>
              <w:spacing w:after="0"/>
              <w:rPr>
                <w:sz w:val="20"/>
                <w:szCs w:val="20"/>
                <w:color w:val="auto"/>
              </w:rPr>
            </w:pPr>
            <w:r>
              <w:rPr>
                <w:rFonts w:ascii="Arial" w:cs="Arial" w:eastAsia="Arial" w:hAnsi="Arial"/>
                <w:sz w:val="16"/>
                <w:szCs w:val="16"/>
                <w:color w:val="auto"/>
              </w:rPr>
              <w:t>Freestone, TX</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Gas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620" w:type="dxa"/>
            <w:vAlign w:val="bottom"/>
          </w:tcPr>
          <w:p>
            <w:pPr>
              <w:jc w:val="right"/>
              <w:ind w:right="4"/>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Pastoria Solar</w:t>
            </w:r>
            <w:r>
              <w:rPr>
                <w:rFonts w:ascii="Arial" w:cs="Arial" w:eastAsia="Arial" w:hAnsi="Arial"/>
                <w:sz w:val="21"/>
                <w:szCs w:val="21"/>
                <w:color w:val="auto"/>
                <w:vertAlign w:val="superscript"/>
              </w:rPr>
              <w:t>(c)</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Kern County, CA</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Solar</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Intermittent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Pastoria/Bess</w:t>
            </w:r>
          </w:p>
        </w:tc>
        <w:tc>
          <w:tcPr>
            <w:tcW w:w="2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Kern County, CA</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Battery Storage</w:t>
            </w:r>
          </w:p>
        </w:tc>
        <w:tc>
          <w:tcPr>
            <w:tcW w:w="17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Peaking</w:t>
            </w: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68"/>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Projects Under Construction</w:t>
            </w:r>
          </w:p>
        </w:tc>
        <w:tc>
          <w:tcPr>
            <w:tcW w:w="2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estimated net generation capacity for units under construction is approximate until commercial operation commences and applicable confirmatory testing is completed.</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Commercial operation was in April 2026. Additionally, in May 2026, we sold a 25% ownership interest in the facility to an unrelated party. The sale did not have a material impact on our results of operations or financial condition.</w:t>
      </w: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Pastoria Solar was commissioned in April 2026.</w:t>
      </w:r>
    </w:p>
    <w:p>
      <w:pPr>
        <w:spacing w:after="0" w:line="185"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millions, unless otherwise noted)</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exposed to market risks associated with adverse changes in commodity prices, counterparty credit, interest rates, and equity prices. We manage these risks through risk management policies and objectives for risk assessment, control and valuation, counterparty credit approval, and the monitoring and reporting of risk exposures. The Executive Committee and the Audit and Risk Committee of the Board of Directors have oversight responsibilities for risk management. The following discussion serves as an update to ITEM 7A — QUANTITATIVE AND QUALITATIVE DISCLOSURES ABOUT MARKET RISK of our 2025 Annual Report on Form 10-K incorporated herein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Commodity price risk is associated with price movements resulting from changes in supply and demand, fuel costs, market liquidity, weather conditions, governmental, regulatory and environmental policies, and other factors. To the extent the total amount of energy we produce or procure differs from the amount of energy we have contracted to sell, we are exposed to market fluctuations in commodity prices. We seek to mitigate our commodity price risk through the sale and purchase of electricity, natural gas and oil, and other commodities.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Electricity available from our owned or contracted generation supply in excess of our obligations to customers is sold into the wholesale markets. To reduce commodity price risk caused by market fluctuations, we enter into non-derivative contracts as well as derivative contracts, including swaps, futures, forwards, and options, with approved counterparties to hedge anticipated exposures in locations and periods where our load serving activities do not naturally offset existing generation portfolio risk. Portfolio hedging activities are generally concentrated in the prompt three years, when customer demand and market liquidity enable effective price risk mitigation. We expect the settlement of the majority of our economic hedges will occur during 2026 through 2028. We also enter into transactions that further optimize the economic benefits of our overall portfolio.</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general, increases and decreases in forward market prices have a positive and negative impact, respectively, on owned and contracted generation positions that have not been hedged. Beginning in 2024, our existing nuclear fleet is eligible for a nuclear PTC, an important tool in managing commodity price risk for each nuclear unit not already receiving state support. The nuclear PTC provides increasing levels of support as unit revenues decline below levels established in the IRA and is further adjusted for inflation annually through the duration of the program based on the GDP price deflator for the preceding calendar year. See Note 6 — Government Assistance of the Combined Notes to Consolidated Financial Statements for additional information.</w:t>
      </w:r>
    </w:p>
    <w:p>
      <w:pPr>
        <w:spacing w:after="0" w:line="1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forecasted market price risk exposure is the risk of a change in the value of unhedged positions. The forecasted market price risk exposure as of March 31, 2026 for our portfolio associated with a hypothetical $10/MWh reduction in the annual average around-the-clock energy price and $5/MWh reduction in around-the-clock spark spread results in an impact to earnings that is not material for 2026 and 2027. See Note 12 — Derivative Financial Instruments of the Combined Notes to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Fuel Procurement</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procure natural gas through long-term and short-term contracts, and spot-market purchases. We also enter into natural gas transportation and storage contracts that allow us to source reliable and cost-effective natural gas for our fleet and to take advantage of favorable market pricing, regardless of when the gas is used in our operations. Fuel oil inventories are managed so that, in the winter months, sufficient volumes of fuel are available in the event of extreme weather conditions and during the remaining months to take advantage of favorable market pricing.</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Nuclear fuel is obtained predominantly through long-term contracts for uranium concentrates, conversion services, enrichment services, (or a combination thereof) and fabrication services, including contracts sourced from Russia. The supply markets for uranium concentrates and certain nuclear fuel services are subject to price fluctuations and availability restrictions. Supply market conditions may make our procurement contracts subject to credit risk related to the potential non-performance of counterparties to deliver the contracted commodity or service at the contracted prices. We engage a diverse set of suppliers to secure the nuclear fuel needed to continue to operate our nuclear fleet long-term. Approximately 35% of our uranium concentrate requirements for the remainder of 2026 through 2031 are supplied by three suppliers. To-date, we have not experienced any counterparty credit risk associated with these suppliers stemming from the Russia and Ukraine conflict. In the event of non-performance by these or other suppliers, we believe that replacement uranium concentrate can be obtained, although at prices that may be unfavorable when compared to the prices under the current supply agreements. Geopolitical developments, including the Russia and Ukraine conflict and United States, United Kingdom, European Union, and Canadian sanctions against Russia, have the potential to impact delivery from multiple suppliers in the international uranium processing industry. Non-performance by these counterparties could have a material adverse impact on our consolidated financial statements. See ITEM 2. MANAGEMENT'S DISCUSSION AND ANALYSIS OF FINANCIAL CONDITION AND RESULTS OF OPERATIONS — Other Key Business Drivers for additional information on the Russia and Ukraine conflict.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Commodity Derivative Activity</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table provides detail on changes in our commodity derivative contract net assets (liabilities) balance sheet position from December 31, 2025 to March 31, 2026. This table incorporates the unrealized gains and losses that are immediately recorded in earnings. This table excludes all NPNS contracts. See Note 12 — Derivative Financial Instruments of the Combined Notes to Consolidated Financial Statements for additional information on the balance sheet classification of the commodity derivative contract net assets (liabilities) recorded as of March 31, 2026 and December 31, 2025.</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r>
              <w:rPr>
                <w:rFonts w:ascii="Arial" w:cs="Arial" w:eastAsia="Arial" w:hAnsi="Arial"/>
                <w:sz w:val="21"/>
                <w:szCs w:val="21"/>
                <w:color w:val="auto"/>
                <w:vertAlign w:val="superscript"/>
              </w:rPr>
              <w:t>(a)</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r>
      <w:tr>
        <w:trPr>
          <w:trHeight w:val="235"/>
        </w:trPr>
        <w:tc>
          <w:tcPr>
            <w:tcW w:w="8700" w:type="dxa"/>
            <w:vAlign w:val="bottom"/>
          </w:tcPr>
          <w:p>
            <w:pPr>
              <w:ind w:left="20"/>
              <w:spacing w:after="0"/>
              <w:rPr>
                <w:sz w:val="20"/>
                <w:szCs w:val="20"/>
                <w:color w:val="auto"/>
              </w:rPr>
            </w:pPr>
            <w:r>
              <w:rPr>
                <w:rFonts w:ascii="Arial" w:cs="Arial" w:eastAsia="Arial" w:hAnsi="Arial"/>
                <w:sz w:val="16"/>
                <w:szCs w:val="16"/>
                <w:color w:val="auto"/>
              </w:rPr>
              <w:t>Net change in fair value of contracts recorded in results of operations</w:t>
            </w:r>
          </w:p>
        </w:tc>
        <w:tc>
          <w:tcPr>
            <w:tcW w:w="10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1,294</w:t>
            </w:r>
          </w:p>
        </w:tc>
      </w:tr>
      <w:tr>
        <w:trPr>
          <w:trHeight w:val="25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Reclassification to realized at settlement of contracts recorded in results of operations</w:t>
            </w:r>
          </w:p>
        </w:tc>
        <w:tc>
          <w:tcPr>
            <w:tcW w:w="10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35"/>
        </w:trPr>
        <w:tc>
          <w:tcPr>
            <w:tcW w:w="8700" w:type="dxa"/>
            <w:vAlign w:val="bottom"/>
          </w:tcPr>
          <w:p>
            <w:pPr>
              <w:ind w:left="20"/>
              <w:spacing w:after="0"/>
              <w:rPr>
                <w:sz w:val="20"/>
                <w:szCs w:val="20"/>
                <w:color w:val="auto"/>
              </w:rPr>
            </w:pPr>
            <w:r>
              <w:rPr>
                <w:rFonts w:ascii="Arial" w:cs="Arial" w:eastAsia="Arial" w:hAnsi="Arial"/>
                <w:sz w:val="16"/>
                <w:szCs w:val="16"/>
                <w:color w:val="auto"/>
              </w:rPr>
              <w:t>Changes in allocated collateral</w:t>
            </w:r>
          </w:p>
        </w:tc>
        <w:tc>
          <w:tcPr>
            <w:tcW w:w="10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5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acquired at acquisition date</w:t>
            </w:r>
            <w:r>
              <w:rPr>
                <w:rFonts w:ascii="Arial" w:cs="Arial" w:eastAsia="Arial" w:hAnsi="Arial"/>
                <w:sz w:val="21"/>
                <w:szCs w:val="21"/>
                <w:color w:val="auto"/>
                <w:vertAlign w:val="superscript"/>
              </w:rPr>
              <w:t>(b)</w:t>
            </w:r>
          </w:p>
        </w:tc>
        <w:tc>
          <w:tcPr>
            <w:tcW w:w="10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r>
      <w:tr>
        <w:trPr>
          <w:trHeight w:val="243"/>
        </w:trPr>
        <w:tc>
          <w:tcPr>
            <w:tcW w:w="8700" w:type="dxa"/>
            <w:vAlign w:val="bottom"/>
          </w:tcPr>
          <w:p>
            <w:pPr>
              <w:ind w:left="20"/>
              <w:spacing w:after="0"/>
              <w:rPr>
                <w:sz w:val="20"/>
                <w:szCs w:val="20"/>
                <w:color w:val="auto"/>
              </w:rPr>
            </w:pPr>
            <w:r>
              <w:rPr>
                <w:rFonts w:ascii="Arial" w:cs="Arial" w:eastAsia="Arial" w:hAnsi="Arial"/>
                <w:sz w:val="16"/>
                <w:szCs w:val="16"/>
                <w:color w:val="auto"/>
              </w:rPr>
              <w:t>Amortization of acquired contracts</w:t>
            </w:r>
            <w:r>
              <w:rPr>
                <w:rFonts w:ascii="Arial" w:cs="Arial" w:eastAsia="Arial" w:hAnsi="Arial"/>
                <w:sz w:val="21"/>
                <w:szCs w:val="21"/>
                <w:color w:val="auto"/>
                <w:vertAlign w:val="superscript"/>
              </w:rPr>
              <w:t>(b)</w:t>
            </w:r>
          </w:p>
        </w:tc>
        <w:tc>
          <w:tcPr>
            <w:tcW w:w="10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option premium paid (received)</w:t>
            </w:r>
          </w:p>
        </w:tc>
        <w:tc>
          <w:tcPr>
            <w:tcW w:w="10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5"/>
        </w:trPr>
        <w:tc>
          <w:tcPr>
            <w:tcW w:w="8700" w:type="dxa"/>
            <w:vAlign w:val="bottom"/>
          </w:tcPr>
          <w:p>
            <w:pPr>
              <w:ind w:left="20"/>
              <w:spacing w:after="0"/>
              <w:rPr>
                <w:sz w:val="20"/>
                <w:szCs w:val="20"/>
                <w:color w:val="auto"/>
              </w:rPr>
            </w:pPr>
            <w:r>
              <w:rPr>
                <w:rFonts w:ascii="Arial" w:cs="Arial" w:eastAsia="Arial" w:hAnsi="Arial"/>
                <w:sz w:val="16"/>
                <w:szCs w:val="16"/>
                <w:color w:val="auto"/>
              </w:rPr>
              <w:t>Option premium amortization</w:t>
            </w:r>
          </w:p>
        </w:tc>
        <w:tc>
          <w:tcPr>
            <w:tcW w:w="10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Upfront payments and amortizations</w:t>
            </w:r>
            <w:r>
              <w:rPr>
                <w:rFonts w:ascii="Arial" w:cs="Arial" w:eastAsia="Arial" w:hAnsi="Arial"/>
                <w:sz w:val="21"/>
                <w:szCs w:val="21"/>
                <w:color w:val="auto"/>
                <w:vertAlign w:val="superscript"/>
              </w:rPr>
              <w:t>(c)</w:t>
            </w:r>
          </w:p>
        </w:tc>
        <w:tc>
          <w:tcPr>
            <w:tcW w:w="10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10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6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2026</w:t>
            </w:r>
            <w:r>
              <w:rPr>
                <w:rFonts w:ascii="Arial" w:cs="Arial" w:eastAsia="Arial" w:hAnsi="Arial"/>
                <w:sz w:val="21"/>
                <w:szCs w:val="21"/>
                <w:color w:val="auto"/>
                <w:vertAlign w:val="superscript"/>
              </w:rPr>
              <w:t>(a)</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are shown net of collateral paid to and received from counterparties.</w:t>
      </w:r>
    </w:p>
    <w:p>
      <w:pPr>
        <w:spacing w:after="0" w:line="15"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amounts related to contracts acquired as part of the Calpine acquisition in January 2026. See Note 2 — Mergers, Acquisitions, and Dispositions of the Combined Notes to Consolidated Financial Statements for additional information.</w:t>
      </w: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derivative contracts acquired or sold through upfront payments or receipts of cash, excluding option premiums, and the associated amortizations.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Values</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table presents maturity and source of fair value for commodity derivative contract net assets (liabilities). See Note 14 — Fair Value of Financial Assets and Liabilities of the Combined Notes to Consolidated Financial Statements for additional information regarding fair value measurements and the fair value hierarchy.</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5"/>
          </w:tcPr>
          <w:p>
            <w:pPr>
              <w:ind w:left="300"/>
              <w:spacing w:after="0"/>
              <w:rPr>
                <w:sz w:val="20"/>
                <w:szCs w:val="20"/>
                <w:color w:val="auto"/>
              </w:rPr>
            </w:pPr>
            <w:r>
              <w:rPr>
                <w:rFonts w:ascii="Arial" w:cs="Arial" w:eastAsia="Arial" w:hAnsi="Arial"/>
                <w:sz w:val="13"/>
                <w:szCs w:val="13"/>
                <w:b w:val="1"/>
                <w:bCs w:val="1"/>
                <w:color w:val="auto"/>
              </w:rPr>
              <w:t>Maturities Within</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3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2031 and</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63"/>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43"/>
              <w:spacing w:after="0"/>
              <w:rPr>
                <w:sz w:val="20"/>
                <w:szCs w:val="20"/>
                <w:color w:val="auto"/>
              </w:rPr>
            </w:pPr>
            <w:r>
              <w:rPr>
                <w:rFonts w:ascii="Arial" w:cs="Arial" w:eastAsia="Arial" w:hAnsi="Arial"/>
                <w:sz w:val="13"/>
                <w:szCs w:val="13"/>
                <w:b w:val="1"/>
                <w:bCs w:val="1"/>
                <w:color w:val="auto"/>
              </w:rPr>
              <w:t>2027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265"/>
              <w:spacing w:after="0"/>
              <w:rPr>
                <w:sz w:val="20"/>
                <w:szCs w:val="20"/>
                <w:color w:val="auto"/>
              </w:rPr>
            </w:pPr>
            <w:r>
              <w:rPr>
                <w:rFonts w:ascii="Arial" w:cs="Arial" w:eastAsia="Arial" w:hAnsi="Arial"/>
                <w:sz w:val="13"/>
                <w:szCs w:val="13"/>
                <w:b w:val="1"/>
                <w:bCs w:val="1"/>
                <w:color w:val="auto"/>
              </w:rPr>
              <w:t>2028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263"/>
              <w:spacing w:after="0"/>
              <w:rPr>
                <w:sz w:val="20"/>
                <w:szCs w:val="20"/>
                <w:color w:val="auto"/>
              </w:rPr>
            </w:pPr>
            <w:r>
              <w:rPr>
                <w:rFonts w:ascii="Arial" w:cs="Arial" w:eastAsia="Arial" w:hAnsi="Arial"/>
                <w:sz w:val="13"/>
                <w:szCs w:val="13"/>
                <w:b w:val="1"/>
                <w:bCs w:val="1"/>
                <w:color w:val="auto"/>
              </w:rPr>
              <w:t>2029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263"/>
              <w:spacing w:after="0"/>
              <w:rPr>
                <w:sz w:val="20"/>
                <w:szCs w:val="20"/>
                <w:color w:val="auto"/>
              </w:rPr>
            </w:pPr>
            <w:r>
              <w:rPr>
                <w:rFonts w:ascii="Arial" w:cs="Arial" w:eastAsia="Arial" w:hAnsi="Arial"/>
                <w:sz w:val="13"/>
                <w:szCs w:val="13"/>
                <w:b w:val="1"/>
                <w:bCs w:val="1"/>
                <w:color w:val="auto"/>
              </w:rPr>
              <w:t>2030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Beyond</w:t>
            </w: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Total Fair Value</w:t>
            </w:r>
          </w:p>
        </w:tc>
      </w:tr>
      <w:tr>
        <w:trPr>
          <w:trHeight w:val="22"/>
        </w:trPr>
        <w:tc>
          <w:tcPr>
            <w:tcW w:w="3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3"/>
        </w:trPr>
        <w:tc>
          <w:tcPr>
            <w:tcW w:w="3800" w:type="dxa"/>
            <w:vAlign w:val="bottom"/>
            <w:shd w:val="clear" w:color="auto" w:fill="CCEEFF"/>
          </w:tcPr>
          <w:p>
            <w:pPr>
              <w:ind w:left="20"/>
              <w:spacing w:after="0" w:line="183" w:lineRule="exact"/>
              <w:rPr>
                <w:sz w:val="20"/>
                <w:szCs w:val="20"/>
                <w:color w:val="auto"/>
              </w:rPr>
            </w:pPr>
            <w:r>
              <w:rPr>
                <w:rFonts w:ascii="Arial" w:cs="Arial" w:eastAsia="Arial" w:hAnsi="Arial"/>
                <w:sz w:val="13"/>
                <w:szCs w:val="13"/>
                <w:b w:val="1"/>
                <w:bCs w:val="1"/>
                <w:color w:val="auto"/>
              </w:rPr>
              <w:t>Commodity derivative contracts</w:t>
            </w:r>
            <w:r>
              <w:rPr>
                <w:rFonts w:ascii="Arial" w:cs="Arial" w:eastAsia="Arial" w:hAnsi="Arial"/>
                <w:sz w:val="16"/>
                <w:szCs w:val="16"/>
                <w:b w:val="1"/>
                <w:bCs w:val="1"/>
                <w:color w:val="auto"/>
                <w:vertAlign w:val="superscript"/>
              </w:rPr>
              <w:t>(a)</w:t>
            </w:r>
            <w:r>
              <w:rPr>
                <w:rFonts w:ascii="Arial" w:cs="Arial" w:eastAsia="Arial" w:hAnsi="Arial"/>
                <w:sz w:val="13"/>
                <w:szCs w:val="13"/>
                <w:b w:val="1"/>
                <w:bCs w:val="1"/>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5"/>
        </w:trPr>
        <w:tc>
          <w:tcPr>
            <w:tcW w:w="3800" w:type="dxa"/>
            <w:vAlign w:val="bottom"/>
          </w:tcPr>
          <w:p>
            <w:pPr>
              <w:ind w:left="340"/>
              <w:spacing w:after="0"/>
              <w:rPr>
                <w:sz w:val="20"/>
                <w:szCs w:val="20"/>
                <w:color w:val="auto"/>
              </w:rPr>
            </w:pPr>
            <w:r>
              <w:rPr>
                <w:rFonts w:ascii="Arial" w:cs="Arial" w:eastAsia="Arial" w:hAnsi="Arial"/>
                <w:sz w:val="16"/>
                <w:szCs w:val="16"/>
                <w:color w:val="auto"/>
              </w:rPr>
              <w:t>Actively quoted prices (Level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51"/>
        </w:trPr>
        <w:tc>
          <w:tcPr>
            <w:tcW w:w="3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Prices provided by external sources (Level 2)</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02"/>
        </w:trPr>
        <w:tc>
          <w:tcPr>
            <w:tcW w:w="3800" w:type="dxa"/>
            <w:vAlign w:val="bottom"/>
          </w:tcPr>
          <w:p>
            <w:pPr>
              <w:ind w:left="340"/>
              <w:spacing w:after="0"/>
              <w:rPr>
                <w:sz w:val="20"/>
                <w:szCs w:val="20"/>
                <w:color w:val="auto"/>
              </w:rPr>
            </w:pPr>
            <w:r>
              <w:rPr>
                <w:rFonts w:ascii="Arial" w:cs="Arial" w:eastAsia="Arial" w:hAnsi="Arial"/>
                <w:sz w:val="16"/>
                <w:szCs w:val="16"/>
                <w:color w:val="auto"/>
              </w:rPr>
              <w:t>Prices based on model or other valuation</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3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methods (Level 3)</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w:t>
            </w:r>
          </w:p>
        </w:tc>
      </w:tr>
      <w:tr>
        <w:trPr>
          <w:trHeight w:val="268"/>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2,493</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Amounts are shown net of collateral paid to and received from counterparties (and offset against derivative assets and liabilities) of $1,683 million at March 31, 2026.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would be exposed to credit-related losses in the event of non-performance by counterparties that execute derivative instruments. The credit exposure of derivative contracts, before collateral, is represented by the fair value of contracts at the reporting date. See Note 12 — Derivative Financial Instruments of the Combined Notes to Consolidated Financial Statements for a detailed discussion of credit risk.</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Credit-Risk-Related Contingent Features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part of the normal course of business, we routinely enter into physically or financially settled contracts for the purchase and sale of capacity, electricity, fuels, emissions allowances, and other energy-related products. In accordance with the contracts and applicable law, if we are downgraded by a credit rating agency, especially if such downgrade is to a level below investment grade, it is possible that a counterparty would attempt to rely on such a downgrade as a basis for making a demand for adequate assurance of future performance. Depending on our net position with a counterparty, the demand could be for the posting of collateral. In the absence of expressly agreed-to provisions that specify the collateral that must be provided, collateral requested will be a function of the facts and circumstances of the situation at the time of the demand. See Note 12 — Derivative Financial Instruments and Note 15 — Commitments and Contingencies of the Combined Notes to Consolidated Financial Statements for additional information regarding the letters of credit supporting the cash collateral.</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sell output through bilateral contracts. The bilateral contracts are subject to credit risk, which relates to the ability of counterparties to meet their contractual payment obligations. Any failure to collect these payments from counterparties could have a material impact on our consolidated financial statements. As market prices rise above or fall below contracted price levels, we are required to post collateral with purchasers; as market prices fall below contracted price levels, counterparties are required to post collateral with us. To post collateral, we depend on access to bank credit facilities, which serve as liquidity sources to fund collateral requirements. See ITEM 2. MANAGEMENT'S DISCUSSION AND ANALYSIS OF FINANCIAL CONDITION AND RESULTS OF OPERATIONS, Liquidity and Capital Resources — Credit Matters and Cash Requirements — Credit Facilities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RTOs and ISOs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participate in all of the established wholesale energy markets that are administered by PJM, ISO-NE, NYISO, CAISO, MISO, SPP, AESO, OIESO, and ERCOT. ERCOT is not subject to regulation by FERC but performs a similar function in Texas to that performed by RTOs and ISOs in markets regulated by FERC. In these areas, power and related products are traded through bilateral agreements between buyers and sellers and in the energy markets that are administered by the RTOs or ISOs, as applicable. In areas where there is no RTO or ISO to administer energy markets, electricity and related products are purchased and sold primarily through bilateral agreements. For activities administered by an RTO or ISO, the RTO or ISO maintains financial assurance policies that are established and enforced by those administrators. The credit policies of the RTOs and ISOs may, under certain circumstances, require that losses arising from the default of one member be shared by the remaining participants. Non-performance or non-payment by a major member of an RTO or ISO could result in a material adverse impact on our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Traded Transactions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enter into commodity transactions on NYMEX, ICE, NASDAQ, NGX, and the Nodal exchange (each an Exchange and, collectively, Exchanges). The Exchange clearinghouses act as the counterparty to each trade. Transactions on the Exchanges must adhere to comprehensive collateral and margining requirements. As a result, transactions on Exchanges are significantly collateralized and have limited counterparty credit risk.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use a combination of fixed-rate and variable -rate debt to manage interest rate exposure. We may also utilize interest rate swaps to manage our interest rate exposure, including derivatives to lock in rate levels in anticipation of future financings. A hypothetical 50 basis points change in interest rates associated with unhedged variable-rate long-term debt and interest rate swaps would not have resulted in a material impact to our earnings for the three months ended March 31, 2026. See Note 12 — Derivative Financial Instruments of the Combined Notes to Consolidated Financial Statements for additional information.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maintain trust funds, as required by the NRC, to fund the costs of decommissioning our nuclear plants. Our NDT funds are reflected at fair value in the Consolidated Balance Sheets. The mix of securities in the trust funds is designed to provide returns to be used to fund decommissioning and to compensate us for inflationary increases in decommissioning costs; however, the equity securities in the trust funds are exposed to price fluctuations in equity markets, and the value of fixed-rate, fixed-income securities are exposed to changes in interest rates. We actively monitor the investment performance of the trust funds and periodically review asset allocations in accordance with our NDT fund investment policy.</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hypothetical 25 basis points increase in interest rates and 10% decrease in equity prices would have resulted in a $1,072 million reduction in the fair value of our NDT trust assets as of March 31, 2026. This calculation holds all other variables constant and assumes only the discussed changes in interest rates and equity prices. See Note 9 — Asset Retirement Obligations of the Combined Notes to Consolidated Financial Statements and Liquidity and Capital Resources section of ITEM 2. MANAGEMENT'S DISCUSSION AND ANALYSIS OF FINANCIAL CONDITION AND RESULTS OF OPERATIONS for additional information.</w:t>
      </w:r>
    </w:p>
    <w:p>
      <w:pPr>
        <w:spacing w:after="0" w:line="11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employee benefit plan trusts also hold investments in equity and debt securities. See ITEM 7. MANAGEMENT'S DISCUSSION AND ANALYSIS OF FINANCIAL CONDITION AND RESULTS OF OPERATIONS — Critical Accounting Policies and Estimates of our 2025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the first quarter of 2026, our principal executive officer and principal financial officer, evaluated the effectiveness of our disclosure controls and procedures related to the recording, processing, summarizing, and reporting of information in periodic reports that we file or submit with the SEC. These disclosure controls and procedures have been designed to ensure that (a) information relating to our consolidated subsidiaries, is accumulated and made known to our management, including our principal executive officer and principal financial officer, by other employees as appropriate to allow timely decisions regarding required disclosure, and (b) this information is recorded, processed, summarized, and reported, as applicable, within the time periods specified in the SEC's rules and forms. Due to the inherent limitations of control systems, not all misstatements may be detected. These inherent limitations include the realities that judgments in decision-making can be faulty and that breakdowns can occur because of simple error or mistake. Additionally, controls could be circumvented by the individual acts of some persons or by collusion of two or more people.</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Accordingly, as of March 31, 2026, our principal executive officer and principal financial officer concluded that our disclosure controls and procedures were effective to accomplish their objectives.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continually strive to improve our disclosure controls and procedures to enhance the quality of our financial reporting and to maintain dynamic systems that change as conditions warrant. During the first quarter of 2026, we completed the acquisition of Calpine and are in the process of integrating Calpine into our system of internal control over financial reporting. We anticipate that Calpine will be fully incorporated into our annual assessment of internal control over financial reporting for the fiscal year ending December 31, 2026. There have been no other changes in internal control over financial reporting that occurred during the first quarter of 2026 that have materially affected, or are reasonably likely to materially affect, any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OTHER INFORMATION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(Dollars in millions except per share data, unless otherwise noted)</w:t>
      </w:r>
    </w:p>
    <w:p>
      <w:pPr>
        <w:spacing w:after="0" w:line="39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00" w:lineRule="exact"/>
        <w:rPr>
          <w:sz w:val="20"/>
          <w:szCs w:val="20"/>
          <w:color w:val="auto"/>
        </w:rPr>
      </w:pP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parties to various lawsuits and regulatory proceedings in the ordinary course of business. For information regarding material lawsuits and proceedings, see Note 3 — Regulatory Matters and Note 15 — Commitments and Contingencies of the Combined Notes to Consolidated Financial Statements in PART I, ITEM 1. FINANCIAL STATEMENTS of this report. Such descriptions are incorporated herein by these references.</w:t>
      </w:r>
    </w:p>
    <w:p>
      <w:pPr>
        <w:spacing w:after="0" w:line="340"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0" w:lineRule="exact"/>
        <w:rPr>
          <w:sz w:val="20"/>
          <w:szCs w:val="20"/>
          <w:color w:val="auto"/>
        </w:rPr>
      </w:pPr>
    </w:p>
    <w:p>
      <w:pPr>
        <w:spacing w:after="0" w:line="23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At March 31, 2026, our risk factors were consistent with the risk factors described in our 2025 Form 10-K in ITEM 1A. RISK FACTORS which was inclusive of the risks related to the Calpine acquisition and its operations.</w:t>
      </w:r>
    </w:p>
    <w:p>
      <w:pPr>
        <w:spacing w:after="0" w:line="12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(CEG Parent)</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2026, our Board of Directors approved a $4.4 billion increase relative to the remaining authorized amount to repurchase our outstanding common stock. No other repurchase plans or programs have been authorized. As of the date of this filing, we have approximately $4.7 billion of remaining authority for repurchases. See Note 16 — Shareholders' Equity of the Combined Notes to Consolidated Financial Statements for additional information regarding our share repurchase program.</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No share repurchases occurred under the program during the three months ended March 31, 2026.</w:t>
      </w:r>
    </w:p>
    <w:p>
      <w:pPr>
        <w:spacing w:after="0" w:line="235"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months ended March 31, 2026, none of our directors or executive officers (as defined in Rule 16a-1 under the Exchange Act) adopted or terminated any contract, instruction or written plan for the purchase or sale of our securities that was intended to satisfy the affirmative defense conditions of Rule 10b5-1(c) or any "non-Rule 10b5-1 trading arrangement" (as defined in Item 408 under Regulation S-K of the Exchange Act).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Certain of the following exhibits are incorporated herein by reference under Rule 12b-32 of the Exchange Act.</w:t>
      </w:r>
    </w:p>
    <w:p>
      <w:pPr>
        <w:sectPr>
          <w:pgSz w:w="11900" w:h="16838" w:orient="portrait"/>
          <w:cols w:equalWidth="0" w:num="1">
            <w:col w:w="11220"/>
          </w:cols>
          <w:pgMar w:left="320" w:top="125" w:right="359" w:bottom="1440" w:gutter="0" w:footer="0" w:header="0"/>
        </w:sect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Exhibit No.</w:t>
      </w:r>
    </w:p>
    <w:p>
      <w:pPr>
        <w:spacing w:after="0" w:line="365" w:lineRule="exact"/>
        <w:rPr>
          <w:sz w:val="20"/>
          <w:szCs w:val="20"/>
          <w:color w:val="auto"/>
        </w:rPr>
      </w:pPr>
    </w:p>
    <w:p>
      <w:pPr>
        <w:ind w:left="20"/>
        <w:spacing w:after="0"/>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2.1*</w:t>
        </w:r>
      </w:hyperlink>
    </w:p>
    <w:p>
      <w:pPr>
        <w:spacing w:after="0" w:line="200" w:lineRule="exact"/>
        <w:rPr>
          <w:sz w:val="20"/>
          <w:szCs w:val="20"/>
          <w:color w:val="auto"/>
        </w:rPr>
      </w:pPr>
    </w:p>
    <w:p>
      <w:pPr>
        <w:spacing w:after="0" w:line="305" w:lineRule="exact"/>
        <w:rPr>
          <w:sz w:val="20"/>
          <w:szCs w:val="20"/>
          <w:color w:val="auto"/>
        </w:rPr>
      </w:pPr>
    </w:p>
    <w:p>
      <w:pPr>
        <w:ind w:left="20"/>
        <w:spacing w:after="0"/>
        <w:rPr>
          <w:rFonts w:ascii="Arial" w:cs="Arial" w:eastAsia="Arial" w:hAnsi="Arial"/>
          <w:sz w:val="16"/>
          <w:szCs w:val="16"/>
          <w:u w:val="single" w:color="auto"/>
          <w:color w:val="0000FF"/>
        </w:rPr>
      </w:pPr>
      <w:hyperlink r:id="rId121">
        <w:r>
          <w:rPr>
            <w:rFonts w:ascii="Arial" w:cs="Arial" w:eastAsia="Arial" w:hAnsi="Arial"/>
            <w:sz w:val="16"/>
            <w:szCs w:val="16"/>
            <w:u w:val="single" w:color="auto"/>
            <w:color w:val="0000FF"/>
          </w:rPr>
          <w:t>4.1</w:t>
        </w:r>
      </w:hyperlink>
    </w:p>
    <w:p>
      <w:pPr>
        <w:spacing w:after="0" w:line="316" w:lineRule="exact"/>
        <w:rPr>
          <w:sz w:val="20"/>
          <w:szCs w:val="20"/>
          <w:color w:val="auto"/>
        </w:rPr>
      </w:pPr>
    </w:p>
    <w:p>
      <w:pPr>
        <w:ind w:left="20"/>
        <w:spacing w:after="0"/>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4.2</w:t>
        </w:r>
      </w:hyperlink>
    </w:p>
    <w:p>
      <w:pPr>
        <w:spacing w:after="0" w:line="316" w:lineRule="exact"/>
        <w:rPr>
          <w:sz w:val="20"/>
          <w:szCs w:val="20"/>
          <w:color w:val="auto"/>
        </w:rPr>
      </w:pPr>
    </w:p>
    <w:p>
      <w:pPr>
        <w:ind w:left="20"/>
        <w:spacing w:after="0"/>
        <w:rPr>
          <w:rFonts w:ascii="Arial" w:cs="Arial" w:eastAsia="Arial" w:hAnsi="Arial"/>
          <w:sz w:val="16"/>
          <w:szCs w:val="16"/>
          <w:u w:val="single" w:color="auto"/>
          <w:color w:val="0000FF"/>
        </w:rPr>
      </w:pPr>
      <w:hyperlink r:id="rId123">
        <w:r>
          <w:rPr>
            <w:rFonts w:ascii="Arial" w:cs="Arial" w:eastAsia="Arial" w:hAnsi="Arial"/>
            <w:sz w:val="16"/>
            <w:szCs w:val="16"/>
            <w:u w:val="single" w:color="auto"/>
            <w:color w:val="0000FF"/>
          </w:rPr>
          <w:t>4.3</w:t>
        </w:r>
      </w:hyperlink>
    </w:p>
    <w:p>
      <w:pPr>
        <w:spacing w:after="0" w:line="356" w:lineRule="exact"/>
        <w:rPr>
          <w:sz w:val="20"/>
          <w:szCs w:val="20"/>
          <w:color w:val="auto"/>
        </w:rPr>
      </w:pPr>
    </w:p>
    <w:p>
      <w:pPr>
        <w:ind w:left="20"/>
        <w:spacing w:after="0"/>
        <w:rPr>
          <w:rFonts w:ascii="Arial" w:cs="Arial" w:eastAsia="Arial" w:hAnsi="Arial"/>
          <w:sz w:val="16"/>
          <w:szCs w:val="16"/>
          <w:u w:val="single" w:color="auto"/>
          <w:color w:val="0000FF"/>
        </w:rPr>
      </w:pPr>
      <w:hyperlink r:id="rId124">
        <w:r>
          <w:rPr>
            <w:rFonts w:ascii="Arial" w:cs="Arial" w:eastAsia="Arial" w:hAnsi="Arial"/>
            <w:sz w:val="16"/>
            <w:szCs w:val="16"/>
            <w:u w:val="single" w:color="auto"/>
            <w:color w:val="0000FF"/>
          </w:rPr>
          <w:t>4.4</w:t>
        </w:r>
      </w:hyperlink>
    </w:p>
    <w:p>
      <w:pPr>
        <w:spacing w:after="0" w:line="200" w:lineRule="exact"/>
        <w:rPr>
          <w:sz w:val="20"/>
          <w:szCs w:val="20"/>
          <w:color w:val="auto"/>
        </w:rPr>
      </w:pPr>
    </w:p>
    <w:p>
      <w:pPr>
        <w:spacing w:after="0" w:line="210" w:lineRule="exact"/>
        <w:rPr>
          <w:sz w:val="20"/>
          <w:szCs w:val="20"/>
          <w:color w:val="auto"/>
        </w:rPr>
      </w:pPr>
    </w:p>
    <w:p>
      <w:pPr>
        <w:ind w:left="20"/>
        <w:spacing w:after="0"/>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4.5</w:t>
        </w:r>
      </w:hyperlink>
    </w:p>
    <w:p>
      <w:pPr>
        <w:spacing w:after="0" w:line="200" w:lineRule="exact"/>
        <w:rPr>
          <w:sz w:val="20"/>
          <w:szCs w:val="20"/>
          <w:color w:val="auto"/>
        </w:rPr>
      </w:pPr>
    </w:p>
    <w:p>
      <w:pPr>
        <w:spacing w:after="0" w:line="210" w:lineRule="exact"/>
        <w:rPr>
          <w:sz w:val="20"/>
          <w:szCs w:val="20"/>
          <w:color w:val="auto"/>
        </w:rPr>
      </w:pPr>
    </w:p>
    <w:p>
      <w:pPr>
        <w:ind w:left="20"/>
        <w:spacing w:after="0"/>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4.6</w:t>
        </w:r>
      </w:hyperlink>
    </w:p>
    <w:p>
      <w:pPr>
        <w:spacing w:after="0" w:line="200" w:lineRule="exact"/>
        <w:rPr>
          <w:sz w:val="20"/>
          <w:szCs w:val="20"/>
          <w:color w:val="auto"/>
        </w:rPr>
      </w:pPr>
    </w:p>
    <w:p>
      <w:pPr>
        <w:spacing w:after="0" w:line="210" w:lineRule="exact"/>
        <w:rPr>
          <w:sz w:val="20"/>
          <w:szCs w:val="20"/>
          <w:color w:val="auto"/>
        </w:rPr>
      </w:pPr>
    </w:p>
    <w:p>
      <w:pPr>
        <w:ind w:left="20"/>
        <w:spacing w:after="0"/>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4.7</w:t>
        </w:r>
      </w:hyperlink>
    </w:p>
    <w:p>
      <w:pPr>
        <w:spacing w:after="0" w:line="316" w:lineRule="exact"/>
        <w:rPr>
          <w:sz w:val="20"/>
          <w:szCs w:val="20"/>
          <w:color w:val="auto"/>
        </w:rPr>
      </w:pPr>
    </w:p>
    <w:p>
      <w:pPr>
        <w:ind w:left="20"/>
        <w:spacing w:after="0"/>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4.8</w:t>
        </w:r>
      </w:hyperlink>
    </w:p>
    <w:p>
      <w:pPr>
        <w:spacing w:after="0" w:line="316" w:lineRule="exact"/>
        <w:rPr>
          <w:sz w:val="20"/>
          <w:szCs w:val="20"/>
          <w:color w:val="auto"/>
        </w:rPr>
      </w:pPr>
    </w:p>
    <w:p>
      <w:pPr>
        <w:ind w:left="20"/>
        <w:spacing w:after="0"/>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4.9</w:t>
        </w:r>
      </w:hyperlink>
    </w:p>
    <w:p>
      <w:pPr>
        <w:spacing w:after="0" w:line="316" w:lineRule="exact"/>
        <w:rPr>
          <w:sz w:val="20"/>
          <w:szCs w:val="20"/>
          <w:color w:val="auto"/>
        </w:rPr>
      </w:pPr>
    </w:p>
    <w:p>
      <w:pPr>
        <w:ind w:left="20"/>
        <w:spacing w:after="0"/>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4.10</w:t>
        </w:r>
      </w:hyperlink>
    </w:p>
    <w:p>
      <w:pPr>
        <w:spacing w:after="0" w:line="316" w:lineRule="exact"/>
        <w:rPr>
          <w:sz w:val="20"/>
          <w:szCs w:val="20"/>
          <w:color w:val="auto"/>
        </w:rPr>
      </w:pPr>
    </w:p>
    <w:p>
      <w:pPr>
        <w:ind w:left="20"/>
        <w:spacing w:after="0"/>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4.11</w:t>
        </w:r>
      </w:hyperlink>
    </w:p>
    <w:p>
      <w:pPr>
        <w:spacing w:after="0" w:line="316" w:lineRule="exact"/>
        <w:rPr>
          <w:sz w:val="20"/>
          <w:szCs w:val="20"/>
          <w:color w:val="auto"/>
        </w:rPr>
      </w:pPr>
    </w:p>
    <w:p>
      <w:pPr>
        <w:ind w:left="20"/>
        <w:spacing w:after="0"/>
        <w:rPr>
          <w:rFonts w:ascii="Arial" w:cs="Arial" w:eastAsia="Arial" w:hAnsi="Arial"/>
          <w:sz w:val="16"/>
          <w:szCs w:val="16"/>
          <w:u w:val="single" w:color="auto"/>
          <w:color w:val="0000FF"/>
        </w:rPr>
      </w:pPr>
      <w:hyperlink r:id="rId132">
        <w:r>
          <w:rPr>
            <w:rFonts w:ascii="Arial" w:cs="Arial" w:eastAsia="Arial" w:hAnsi="Arial"/>
            <w:sz w:val="16"/>
            <w:szCs w:val="16"/>
            <w:u w:val="single" w:color="auto"/>
            <w:color w:val="0000FF"/>
          </w:rPr>
          <w:t>4.12</w:t>
        </w:r>
      </w:hyperlink>
    </w:p>
    <w:p>
      <w:pPr>
        <w:spacing w:after="0" w:line="316" w:lineRule="exact"/>
        <w:rPr>
          <w:sz w:val="20"/>
          <w:szCs w:val="20"/>
          <w:color w:val="auto"/>
        </w:rPr>
      </w:pPr>
    </w:p>
    <w:p>
      <w:pPr>
        <w:ind w:left="20"/>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4.13</w:t>
        </w:r>
      </w:hyperlink>
    </w:p>
    <w:p>
      <w:pPr>
        <w:spacing w:after="0" w:line="316" w:lineRule="exact"/>
        <w:rPr>
          <w:sz w:val="20"/>
          <w:szCs w:val="20"/>
          <w:color w:val="auto"/>
        </w:rPr>
      </w:pPr>
    </w:p>
    <w:p>
      <w:pPr>
        <w:ind w:left="20"/>
        <w:spacing w:after="0"/>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4.14</w:t>
        </w:r>
      </w:hyperlink>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Description</w:t>
      </w:r>
    </w:p>
    <w:p>
      <w:pPr>
        <w:spacing w:after="0" w:line="57" w:lineRule="exact"/>
        <w:rPr>
          <w:sz w:val="20"/>
          <w:szCs w:val="20"/>
          <w:color w:val="auto"/>
        </w:rPr>
      </w:pPr>
    </w:p>
    <w:p>
      <w:pPr>
        <w:jc w:val="both"/>
        <w:spacing w:after="0" w:line="265" w:lineRule="auto"/>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Agreement and Plan of Merger, dated as of January 10, 2025, by and among Calpine Corporation, CPN CS Holdco Corp., CPN CKS</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Corp., Constellation Energy Corporation, Cascade Transco Inc., Cascade Transco – 1, LLC and Volt Energy Holdings GP, LLC, solely in</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its capacity as the representative of the stockholders of Calpine Corporation (File No. 001-41137, Form 8-K dated January 13, 2025,</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Exhibit 2.1)</w:t>
        </w:r>
      </w:hyperlink>
    </w:p>
    <w:p>
      <w:pPr>
        <w:spacing w:after="0" w:line="78" w:lineRule="exact"/>
        <w:rPr>
          <w:rFonts w:ascii="Arial" w:cs="Arial" w:eastAsia="Arial" w:hAnsi="Arial"/>
          <w:sz w:val="16"/>
          <w:szCs w:val="16"/>
          <w:u w:val="single" w:color="auto"/>
          <w:color w:val="0000FF"/>
        </w:rPr>
      </w:pPr>
    </w:p>
    <w:p>
      <w:pPr>
        <w:jc w:val="both"/>
        <w:spacing w:after="0" w:line="286" w:lineRule="auto"/>
        <w:rPr>
          <w:rFonts w:ascii="Arial" w:cs="Arial" w:eastAsia="Arial" w:hAnsi="Arial"/>
          <w:sz w:val="16"/>
          <w:szCs w:val="16"/>
          <w:u w:val="single" w:color="auto"/>
          <w:color w:val="0000FF"/>
        </w:rPr>
      </w:pPr>
      <w:hyperlink r:id="rId121">
        <w:r>
          <w:rPr>
            <w:rFonts w:ascii="Arial" w:cs="Arial" w:eastAsia="Arial" w:hAnsi="Arial"/>
            <w:sz w:val="16"/>
            <w:szCs w:val="16"/>
            <w:u w:val="single" w:color="auto"/>
            <w:color w:val="0000FF"/>
          </w:rPr>
          <w:t>Indenture, dated December 27, 2019, between Calpine Corporation and Wilmington Trust, National Association, as trustee (including</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Form of 5.125% Senior Note due 2028) (File No. 001-41137, Form 8-K dated January 7, 2026, Exhibit 4.1)</w:t>
        </w:r>
      </w:hyperlink>
    </w:p>
    <w:p>
      <w:pPr>
        <w:spacing w:after="0" w:line="61" w:lineRule="exact"/>
        <w:rPr>
          <w:sz w:val="20"/>
          <w:szCs w:val="20"/>
          <w:color w:val="auto"/>
        </w:rPr>
      </w:pPr>
    </w:p>
    <w:p>
      <w:pPr>
        <w:jc w:val="both"/>
        <w:spacing w:after="0" w:line="286" w:lineRule="auto"/>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Indenture, dated August 10, 2020, between Calpine Corporation and Wilmington Trust, National Association, as trustee (including Form of</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4.625% Senior Note due 2029) (File No. 001-41137, Form 8-K dated January 7, 2026, Exhibit 4.2)</w:t>
        </w:r>
      </w:hyperlink>
    </w:p>
    <w:p>
      <w:pPr>
        <w:spacing w:after="0" w:line="61" w:lineRule="exact"/>
        <w:rPr>
          <w:sz w:val="20"/>
          <w:szCs w:val="20"/>
          <w:color w:val="auto"/>
        </w:rPr>
      </w:pPr>
    </w:p>
    <w:p>
      <w:pPr>
        <w:jc w:val="both"/>
        <w:spacing w:after="0" w:line="286" w:lineRule="auto"/>
        <w:rPr>
          <w:rFonts w:ascii="Arial" w:cs="Arial" w:eastAsia="Arial" w:hAnsi="Arial"/>
          <w:sz w:val="16"/>
          <w:szCs w:val="16"/>
          <w:u w:val="single" w:color="auto"/>
          <w:color w:val="0000FF"/>
        </w:rPr>
      </w:pPr>
      <w:hyperlink r:id="rId123">
        <w:r>
          <w:rPr>
            <w:rFonts w:ascii="Arial" w:cs="Arial" w:eastAsia="Arial" w:hAnsi="Arial"/>
            <w:sz w:val="16"/>
            <w:szCs w:val="16"/>
            <w:u w:val="single" w:color="auto"/>
            <w:color w:val="0000FF"/>
          </w:rPr>
          <w:t>Indenture, dated August 10, 2020, between Calpine Corporation and Wilmington Trust, National Association, as trustee (including Form of</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5.000% Senior Note due 2031) (File No. 001-41137, Form 8-K dated January 7, 2026, Exhibit 4.3)</w:t>
        </w:r>
      </w:hyperlink>
    </w:p>
    <w:p>
      <w:pPr>
        <w:spacing w:after="0" w:line="7" w:lineRule="exact"/>
        <w:rPr>
          <w:sz w:val="20"/>
          <w:szCs w:val="20"/>
          <w:color w:val="auto"/>
        </w:rPr>
      </w:pPr>
    </w:p>
    <w:p>
      <w:pPr>
        <w:jc w:val="both"/>
        <w:spacing w:after="0" w:line="266" w:lineRule="auto"/>
        <w:rPr>
          <w:rFonts w:ascii="Arial" w:cs="Arial" w:eastAsia="Arial" w:hAnsi="Arial"/>
          <w:sz w:val="16"/>
          <w:szCs w:val="16"/>
          <w:u w:val="single" w:color="auto"/>
          <w:color w:val="0000FF"/>
        </w:rPr>
      </w:pPr>
      <w:hyperlink r:id="rId124">
        <w:r>
          <w:rPr>
            <w:rFonts w:ascii="Arial" w:cs="Arial" w:eastAsia="Arial" w:hAnsi="Arial"/>
            <w:sz w:val="16"/>
            <w:szCs w:val="16"/>
            <w:u w:val="single" w:color="auto"/>
            <w:color w:val="0000FF"/>
          </w:rPr>
          <w:t>Indenture, dated December 20, 2019, among Calpine Corporation, the guarantors party thereto from time to time and Wilmington Trust,</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National Association, as trustee (including Form of 4.500% Senior Secured Notes due 2028) (File No. 001-41137, Form 8-K dated</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January 7, 2026, Exhibit 4.4)</w:t>
        </w:r>
      </w:hyperlink>
    </w:p>
    <w:p>
      <w:pPr>
        <w:spacing w:after="0" w:line="77" w:lineRule="exact"/>
        <w:rPr>
          <w:rFonts w:ascii="Arial" w:cs="Arial" w:eastAsia="Arial" w:hAnsi="Arial"/>
          <w:sz w:val="16"/>
          <w:szCs w:val="16"/>
          <w:u w:val="single" w:color="auto"/>
          <w:color w:val="0000FF"/>
        </w:rPr>
      </w:pPr>
    </w:p>
    <w:p>
      <w:pPr>
        <w:jc w:val="both"/>
        <w:spacing w:after="0" w:line="286" w:lineRule="auto"/>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First Supplemental Indenture, dated August 20, 2025, among Calpine Corporation, the guarantors party thereto and Wilmington Trust,</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National Association, as trustee (File No. 001-41137, Form 8-K dated January 7, 2026, Exhibit 4.5)</w:t>
        </w:r>
      </w:hyperlink>
    </w:p>
    <w:p>
      <w:pPr>
        <w:spacing w:after="0" w:line="61" w:lineRule="exact"/>
        <w:rPr>
          <w:sz w:val="20"/>
          <w:szCs w:val="20"/>
          <w:color w:val="auto"/>
        </w:rPr>
      </w:pPr>
    </w:p>
    <w:p>
      <w:pPr>
        <w:jc w:val="both"/>
        <w:spacing w:after="0" w:line="266" w:lineRule="auto"/>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Indenture, dated December 16, 2020, among Calpine Corporation, the guarantors party thereto from time to time and Wilmington Trust,</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National Association, as trustee (including Form of 3.750% Senior Secured Notes due 2031) (File No. 001-41137, Form 8-K dated</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January 7, 2026, Exhibit 4.6)</w:t>
        </w:r>
      </w:hyperlink>
    </w:p>
    <w:p>
      <w:pPr>
        <w:spacing w:after="0" w:line="77" w:lineRule="exact"/>
        <w:rPr>
          <w:rFonts w:ascii="Arial" w:cs="Arial" w:eastAsia="Arial" w:hAnsi="Arial"/>
          <w:sz w:val="16"/>
          <w:szCs w:val="16"/>
          <w:u w:val="single" w:color="auto"/>
          <w:color w:val="0000FF"/>
        </w:rPr>
      </w:pPr>
    </w:p>
    <w:p>
      <w:pPr>
        <w:jc w:val="both"/>
        <w:spacing w:after="0" w:line="286" w:lineRule="auto"/>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First Supplemental Indenture, dated August 20, 2025, among Calpine Corporation, the guarantors party thereto and Wilmington Trust,</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National Association, as trustee (File No. 001-41137, Form 8-K dated January 7, 2026, Exhibit 4.7)</w:t>
        </w:r>
      </w:hyperlink>
    </w:p>
    <w:p>
      <w:pPr>
        <w:spacing w:after="0" w:line="61" w:lineRule="exact"/>
        <w:rPr>
          <w:sz w:val="20"/>
          <w:szCs w:val="20"/>
          <w:color w:val="auto"/>
        </w:rPr>
      </w:pPr>
    </w:p>
    <w:p>
      <w:pPr>
        <w:jc w:val="both"/>
        <w:ind w:right="20"/>
        <w:spacing w:after="0" w:line="286" w:lineRule="auto"/>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Form of Constellation Energy Generation, LLC Floating Rate Senior Notes due January 8, 2028 (File No. 333-85496, Form 8-K dated</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January 8, 2026, Exhibit 4.1)</w:t>
        </w:r>
      </w:hyperlink>
    </w:p>
    <w:p>
      <w:pPr>
        <w:spacing w:after="0" w:line="61" w:lineRule="exact"/>
        <w:rPr>
          <w:sz w:val="20"/>
          <w:szCs w:val="20"/>
          <w:color w:val="auto"/>
        </w:rPr>
      </w:pPr>
    </w:p>
    <w:p>
      <w:pPr>
        <w:jc w:val="both"/>
        <w:spacing w:after="0" w:line="286" w:lineRule="auto"/>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Form of Constellation Energy Generation, LLC 3.900% Senior Notes due January 8, 2028 (File No. 333-85496, Form 8-K dated January</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8, 2026, Exhibit 4.2)</w:t>
        </w:r>
      </w:hyperlink>
    </w:p>
    <w:p>
      <w:pPr>
        <w:spacing w:after="0" w:line="61" w:lineRule="exact"/>
        <w:rPr>
          <w:sz w:val="20"/>
          <w:szCs w:val="20"/>
          <w:color w:val="auto"/>
        </w:rPr>
      </w:pPr>
    </w:p>
    <w:p>
      <w:pPr>
        <w:jc w:val="both"/>
        <w:ind w:right="20"/>
        <w:spacing w:after="0" w:line="286" w:lineRule="auto"/>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Form of Constellation Energy Generation, LLC 4.400% Senior Notes due January 15, 2031 (File No. 333-85496, Form 8-K dated January</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8, 2026, Exhibit 4.3)</w:t>
        </w:r>
      </w:hyperlink>
    </w:p>
    <w:p>
      <w:pPr>
        <w:spacing w:after="0" w:line="61" w:lineRule="exact"/>
        <w:rPr>
          <w:sz w:val="20"/>
          <w:szCs w:val="20"/>
          <w:color w:val="auto"/>
        </w:rPr>
      </w:pPr>
    </w:p>
    <w:p>
      <w:pPr>
        <w:jc w:val="both"/>
        <w:ind w:right="20"/>
        <w:spacing w:after="0" w:line="286" w:lineRule="auto"/>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Form of Constellation Energy Generation, LLC 5.875% Senior Notes due January 15, 2066 (File No. 333-85496, Form 8-K dated January</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8, 2026, Exhibit 4.4)</w:t>
        </w:r>
      </w:hyperlink>
    </w:p>
    <w:p>
      <w:pPr>
        <w:spacing w:after="0" w:line="61" w:lineRule="exact"/>
        <w:rPr>
          <w:sz w:val="20"/>
          <w:szCs w:val="20"/>
          <w:color w:val="auto"/>
        </w:rPr>
      </w:pPr>
    </w:p>
    <w:p>
      <w:pPr>
        <w:jc w:val="both"/>
        <w:spacing w:after="0" w:line="286" w:lineRule="auto"/>
        <w:rPr>
          <w:rFonts w:ascii="Arial" w:cs="Arial" w:eastAsia="Arial" w:hAnsi="Arial"/>
          <w:sz w:val="16"/>
          <w:szCs w:val="16"/>
          <w:u w:val="single" w:color="auto"/>
          <w:color w:val="0000FF"/>
        </w:rPr>
      </w:pPr>
      <w:hyperlink r:id="rId132">
        <w:r>
          <w:rPr>
            <w:rFonts w:ascii="Arial" w:cs="Arial" w:eastAsia="Arial" w:hAnsi="Arial"/>
            <w:sz w:val="16"/>
            <w:szCs w:val="16"/>
            <w:u w:val="single" w:color="auto"/>
            <w:color w:val="0000FF"/>
          </w:rPr>
          <w:t>First Supplemental Indenture, dated as of January 15, 2026, among Calpine Corporation and Wilmington Trust, National Association, as</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trustee (File No. 001-41137, Form 8-K dated January 15, 2026, Exhibit 4.1)</w:t>
        </w:r>
      </w:hyperlink>
    </w:p>
    <w:p>
      <w:pPr>
        <w:spacing w:after="0" w:line="61" w:lineRule="exact"/>
        <w:rPr>
          <w:sz w:val="20"/>
          <w:szCs w:val="20"/>
          <w:color w:val="auto"/>
        </w:rPr>
      </w:pPr>
    </w:p>
    <w:p>
      <w:pPr>
        <w:jc w:val="both"/>
        <w:spacing w:after="0" w:line="286" w:lineRule="auto"/>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First Supplemental Indenture, dated as of January 15, 2026, among Calpine Corporation and Wilmington Trust, National Association, as</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trustee (File No. 001-41137, Form 8-K dated January 15, 2026, Exhibit 4.2)</w:t>
        </w:r>
      </w:hyperlink>
    </w:p>
    <w:p>
      <w:pPr>
        <w:spacing w:after="0" w:line="61" w:lineRule="exact"/>
        <w:rPr>
          <w:sz w:val="20"/>
          <w:szCs w:val="20"/>
          <w:color w:val="auto"/>
        </w:rPr>
      </w:pPr>
    </w:p>
    <w:p>
      <w:pPr>
        <w:jc w:val="both"/>
        <w:spacing w:after="0" w:line="286" w:lineRule="auto"/>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Second Supplemental Indenture, dated as of January 15, 2026, among Calpine Corporation, the guarantors party thereto and Wilmington</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Trust, National Association, as trustee (File No. 001-41137, Form 8-K dated January 15, 2026, Exhibit 4.3)</w:t>
        </w:r>
      </w:hyperlink>
    </w:p>
    <w:p>
      <w:pPr>
        <w:spacing w:after="0" w:line="200" w:lineRule="exact"/>
        <w:rPr>
          <w:sz w:val="20"/>
          <w:szCs w:val="20"/>
          <w:color w:val="auto"/>
        </w:rPr>
      </w:pPr>
    </w:p>
    <w:p>
      <w:pPr>
        <w:sectPr>
          <w:pgSz w:w="11900" w:h="16838" w:orient="portrait"/>
          <w:cols w:equalWidth="0" w:num="2">
            <w:col w:w="680" w:space="660"/>
            <w:col w:w="9880"/>
          </w:cols>
          <w:pgMar w:left="320" w:top="125" w:right="35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r:id="rId136">
              <w:r>
                <w:rPr>
                  <w:rFonts w:ascii="Arial" w:cs="Arial" w:eastAsia="Arial" w:hAnsi="Arial"/>
                  <w:sz w:val="16"/>
                  <w:szCs w:val="16"/>
                  <w:color w:val="0000FF"/>
                  <w:w w:val="96"/>
                </w:rPr>
                <w:t>4.</w:t>
              </w:r>
              <w:r>
                <w:rPr>
                  <w:rFonts w:ascii="Arial" w:cs="Arial" w:eastAsia="Arial" w:hAnsi="Arial"/>
                  <w:sz w:val="16"/>
                  <w:szCs w:val="16"/>
                  <w:u w:val="single" w:color="auto"/>
                  <w:color w:val="0000FF"/>
                  <w:w w:val="96"/>
                </w:rPr>
                <w:t>15</w:t>
              </w:r>
            </w:hyperlink>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120" w:type="dxa"/>
            <w:vAlign w:val="bottom"/>
            <w:tcBorders>
              <w:bottom w:val="single" w:sz="8" w:color="0000FF"/>
            </w:tcBorders>
            <w:gridSpan w:val="9"/>
          </w:tcPr>
          <w:p>
            <w:pPr>
              <w:spacing w:after="0"/>
              <w:rPr>
                <w:rFonts w:ascii="Arial" w:cs="Arial" w:eastAsia="Arial" w:hAnsi="Arial"/>
                <w:sz w:val="16"/>
                <w:szCs w:val="16"/>
                <w:color w:val="0000FF"/>
              </w:rPr>
            </w:pPr>
            <w:hyperlink r:id="rId136">
              <w:r>
                <w:rPr>
                  <w:rFonts w:ascii="Arial" w:cs="Arial" w:eastAsia="Arial" w:hAnsi="Arial"/>
                  <w:sz w:val="16"/>
                  <w:szCs w:val="16"/>
                  <w:color w:val="0000FF"/>
                </w:rPr>
                <w:t>Form of New 2029 Senior Note (File No. 001-41137, Form 8-K dated January 15, 2026, Exhibit 4.4)</w:t>
              </w:r>
            </w:hyperlink>
          </w:p>
        </w:tc>
        <w:tc>
          <w:tcPr>
            <w:tcW w:w="288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r:id="rId137">
              <w:r>
                <w:rPr>
                  <w:rFonts w:ascii="Arial" w:cs="Arial" w:eastAsia="Arial" w:hAnsi="Arial"/>
                  <w:sz w:val="16"/>
                  <w:szCs w:val="16"/>
                  <w:color w:val="0000FF"/>
                  <w:w w:val="96"/>
                </w:rPr>
                <w:t>4.</w:t>
              </w:r>
              <w:r>
                <w:rPr>
                  <w:rFonts w:ascii="Arial" w:cs="Arial" w:eastAsia="Arial" w:hAnsi="Arial"/>
                  <w:sz w:val="16"/>
                  <w:szCs w:val="16"/>
                  <w:u w:val="single" w:color="auto"/>
                  <w:color w:val="0000FF"/>
                  <w:w w:val="96"/>
                </w:rPr>
                <w:t>16</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20" w:type="dxa"/>
            <w:vAlign w:val="bottom"/>
            <w:tcBorders>
              <w:bottom w:val="single" w:sz="8" w:color="0000FF"/>
            </w:tcBorders>
            <w:gridSpan w:val="11"/>
          </w:tcPr>
          <w:p>
            <w:pPr>
              <w:spacing w:after="0"/>
              <w:rPr>
                <w:rFonts w:ascii="Arial" w:cs="Arial" w:eastAsia="Arial" w:hAnsi="Arial"/>
                <w:sz w:val="16"/>
                <w:szCs w:val="16"/>
                <w:color w:val="0000FF"/>
              </w:rPr>
            </w:pPr>
            <w:hyperlink r:id="rId137">
              <w:r>
                <w:rPr>
                  <w:rFonts w:ascii="Arial" w:cs="Arial" w:eastAsia="Arial" w:hAnsi="Arial"/>
                  <w:sz w:val="16"/>
                  <w:szCs w:val="16"/>
                  <w:color w:val="0000FF"/>
                </w:rPr>
                <w:t>Form of New February 2031 Senior Note (File No. 001-41137, Form 8-K dated January 15, 2026, Exhibit 4.5)</w:t>
              </w:r>
            </w:hyperlink>
          </w:p>
        </w:tc>
        <w:tc>
          <w:tcPr>
            <w:tcW w:w="2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r:id="rId138">
              <w:r>
                <w:rPr>
                  <w:rFonts w:ascii="Arial" w:cs="Arial" w:eastAsia="Arial" w:hAnsi="Arial"/>
                  <w:sz w:val="16"/>
                  <w:szCs w:val="16"/>
                  <w:color w:val="0000FF"/>
                  <w:w w:val="96"/>
                </w:rPr>
                <w:t>4.</w:t>
              </w:r>
              <w:r>
                <w:rPr>
                  <w:rFonts w:ascii="Arial" w:cs="Arial" w:eastAsia="Arial" w:hAnsi="Arial"/>
                  <w:sz w:val="16"/>
                  <w:szCs w:val="16"/>
                  <w:u w:val="single" w:color="auto"/>
                  <w:color w:val="0000FF"/>
                  <w:w w:val="96"/>
                </w:rPr>
                <w:t>17</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20" w:type="dxa"/>
            <w:vAlign w:val="bottom"/>
            <w:tcBorders>
              <w:bottom w:val="single" w:sz="8" w:color="0000FF"/>
            </w:tcBorders>
            <w:gridSpan w:val="10"/>
          </w:tcPr>
          <w:p>
            <w:pPr>
              <w:spacing w:after="0"/>
              <w:rPr>
                <w:rFonts w:ascii="Arial" w:cs="Arial" w:eastAsia="Arial" w:hAnsi="Arial"/>
                <w:sz w:val="16"/>
                <w:szCs w:val="16"/>
                <w:color w:val="0000FF"/>
              </w:rPr>
            </w:pPr>
            <w:hyperlink r:id="rId138">
              <w:r>
                <w:rPr>
                  <w:rFonts w:ascii="Arial" w:cs="Arial" w:eastAsia="Arial" w:hAnsi="Arial"/>
                  <w:sz w:val="16"/>
                  <w:szCs w:val="16"/>
                  <w:color w:val="0000FF"/>
                </w:rPr>
                <w:t>Form of New March 2031 Senior Note (File No. 001-41137, Form 8-K dated January 15, 2026, Exhibit 4.6)</w:t>
              </w:r>
            </w:hyperlink>
          </w:p>
        </w:tc>
        <w:tc>
          <w:tcPr>
            <w:tcW w:w="2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0" w:type="dxa"/>
            <w:vAlign w:val="bottom"/>
            <w:gridSpan w:val="3"/>
            <w:vMerge w:val="restart"/>
          </w:tcPr>
          <w:p>
            <w:pPr>
              <w:spacing w:after="0"/>
              <w:rPr>
                <w:rFonts w:ascii="Arial" w:cs="Arial" w:eastAsia="Arial" w:hAnsi="Arial"/>
                <w:sz w:val="16"/>
                <w:szCs w:val="16"/>
                <w:color w:val="0000FF"/>
                <w:w w:val="96"/>
              </w:rPr>
            </w:pPr>
            <w:hyperlink r:id="rId139">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880" w:type="dxa"/>
            <w:vAlign w:val="bottom"/>
          </w:tcPr>
          <w:p>
            <w:pPr>
              <w:spacing w:after="0"/>
              <w:rPr>
                <w:sz w:val="24"/>
                <w:szCs w:val="24"/>
                <w:color w:val="auto"/>
              </w:rPr>
            </w:pPr>
          </w:p>
        </w:tc>
        <w:tc>
          <w:tcPr>
            <w:tcW w:w="9960" w:type="dxa"/>
            <w:vAlign w:val="bottom"/>
            <w:tcBorders>
              <w:bottom w:val="single" w:sz="8" w:color="0000FF"/>
            </w:tcBorders>
            <w:gridSpan w:val="16"/>
          </w:tcPr>
          <w:p>
            <w:pPr>
              <w:spacing w:after="0"/>
              <w:rPr>
                <w:rFonts w:ascii="Arial" w:cs="Arial" w:eastAsia="Arial" w:hAnsi="Arial"/>
                <w:sz w:val="16"/>
                <w:szCs w:val="16"/>
                <w:color w:val="0000FF"/>
              </w:rPr>
            </w:pPr>
            <w:hyperlink r:id="rId139">
              <w:r>
                <w:rPr>
                  <w:rFonts w:ascii="Arial" w:cs="Arial" w:eastAsia="Arial" w:hAnsi="Arial"/>
                  <w:sz w:val="16"/>
                  <w:szCs w:val="16"/>
                  <w:color w:val="0000FF"/>
                </w:rPr>
                <w:t>Registration Rights Agreement, dated January 7, 2026, by and among Constellation Energy Corporation and the parties thereto from time</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40" w:type="dxa"/>
            <w:vAlign w:val="bottom"/>
            <w:tcBorders>
              <w:bottom w:val="single" w:sz="8" w:color="0000FF"/>
            </w:tcBorders>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5420" w:type="dxa"/>
            <w:vAlign w:val="bottom"/>
            <w:gridSpan w:val="6"/>
            <w:vMerge w:val="restart"/>
          </w:tcPr>
          <w:p>
            <w:pPr>
              <w:spacing w:after="0" w:line="169" w:lineRule="exact"/>
              <w:rPr>
                <w:rFonts w:ascii="Arial" w:cs="Arial" w:eastAsia="Arial" w:hAnsi="Arial"/>
                <w:sz w:val="16"/>
                <w:szCs w:val="16"/>
                <w:color w:val="0000FF"/>
              </w:rPr>
            </w:pPr>
            <w:hyperlink r:id="rId139">
              <w:r>
                <w:rPr>
                  <w:rFonts w:ascii="Arial" w:cs="Arial" w:eastAsia="Arial" w:hAnsi="Arial"/>
                  <w:sz w:val="16"/>
                  <w:szCs w:val="16"/>
                  <w:color w:val="0000FF"/>
                </w:rPr>
                <w:t>to time (File No. 001-41137, Form 8-K, dated January 7, 2026, Exhibit 10.1)</w:t>
              </w:r>
            </w:hyperlink>
          </w:p>
        </w:tc>
        <w:tc>
          <w:tcPr>
            <w:tcW w:w="4580" w:type="dxa"/>
            <w:vAlign w:val="bottom"/>
            <w:gridSpan w:val="12"/>
            <w:vMerge w:val="restart"/>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20" w:type="dxa"/>
            <w:vAlign w:val="bottom"/>
            <w:tcBorders>
              <w:bottom w:val="single" w:sz="8" w:color="0000FF"/>
            </w:tcBorders>
            <w:gridSpan w:val="6"/>
            <w:vMerge w:val="continue"/>
          </w:tcPr>
          <w:p>
            <w:pPr>
              <w:spacing w:after="0"/>
              <w:rPr>
                <w:sz w:val="6"/>
                <w:szCs w:val="6"/>
                <w:color w:val="auto"/>
              </w:rPr>
            </w:pPr>
          </w:p>
        </w:tc>
        <w:tc>
          <w:tcPr>
            <w:tcW w:w="4580" w:type="dxa"/>
            <w:vAlign w:val="bottom"/>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440" w:type="dxa"/>
            <w:vAlign w:val="bottom"/>
            <w:gridSpan w:val="3"/>
            <w:vMerge w:val="restart"/>
          </w:tcPr>
          <w:p>
            <w:pPr>
              <w:spacing w:after="0"/>
              <w:rPr>
                <w:rFonts w:ascii="Arial" w:cs="Arial" w:eastAsia="Arial" w:hAnsi="Arial"/>
                <w:sz w:val="16"/>
                <w:szCs w:val="16"/>
                <w:color w:val="0000FF"/>
              </w:rPr>
            </w:pPr>
            <w:hyperlink r:id="rId140">
              <w:r>
                <w:rPr>
                  <w:rFonts w:ascii="Arial" w:cs="Arial" w:eastAsia="Arial" w:hAnsi="Arial"/>
                  <w:sz w:val="16"/>
                  <w:szCs w:val="16"/>
                  <w:color w:val="0000FF"/>
                </w:rPr>
                <w:t>10.</w:t>
              </w:r>
              <w:r>
                <w:rPr>
                  <w:rFonts w:ascii="Arial" w:cs="Arial" w:eastAsia="Arial" w:hAnsi="Arial"/>
                  <w:sz w:val="16"/>
                  <w:szCs w:val="16"/>
                  <w:u w:val="single" w:color="auto"/>
                  <w:color w:val="0000FF"/>
                </w:rPr>
                <w:t>2*</w:t>
              </w:r>
            </w:hyperlink>
          </w:p>
        </w:tc>
        <w:tc>
          <w:tcPr>
            <w:tcW w:w="88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6"/>
                <w:szCs w:val="16"/>
                <w:color w:val="0000FF"/>
              </w:rPr>
            </w:pPr>
            <w:hyperlink r:id="rId140">
              <w:r>
                <w:rPr>
                  <w:rFonts w:ascii="Arial" w:cs="Arial" w:eastAsia="Arial" w:hAnsi="Arial"/>
                  <w:sz w:val="16"/>
                  <w:szCs w:val="16"/>
                  <w:color w:val="0000FF"/>
                </w:rPr>
                <w:t>Credit Agreement, dated December 15, 2017, among Calpine Construction Finance Company, L.P., as borrower, the lenders party thereto</w:t>
              </w:r>
            </w:hyperlink>
          </w:p>
        </w:tc>
        <w:tc>
          <w:tcPr>
            <w:tcW w:w="0" w:type="dxa"/>
            <w:vAlign w:val="bottom"/>
          </w:tcPr>
          <w:p>
            <w:pPr>
              <w:spacing w:after="0"/>
              <w:rPr>
                <w:sz w:val="1"/>
                <w:szCs w:val="1"/>
                <w:color w:val="auto"/>
              </w:rPr>
            </w:pPr>
          </w:p>
        </w:tc>
      </w:tr>
      <w:tr>
        <w:trPr>
          <w:trHeight w:val="169"/>
        </w:trPr>
        <w:tc>
          <w:tcPr>
            <w:tcW w:w="44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994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140">
              <w:r>
                <w:rPr>
                  <w:rFonts w:ascii="Arial" w:cs="Arial" w:eastAsia="Arial" w:hAnsi="Arial"/>
                  <w:sz w:val="16"/>
                  <w:szCs w:val="16"/>
                  <w:color w:val="0000FF"/>
                </w:rPr>
                <w:t>from time to time, and Credit Suisse AG, Cayman Islands Branch, as administrative agent and collateral agent (File No. 001-41137, Form</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96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rPr>
            </w:pPr>
            <w:hyperlink r:id="rId140">
              <w:r>
                <w:rPr>
                  <w:rFonts w:ascii="Arial" w:cs="Arial" w:eastAsia="Arial" w:hAnsi="Arial"/>
                  <w:sz w:val="16"/>
                  <w:szCs w:val="16"/>
                  <w:color w:val="0000FF"/>
                </w:rPr>
                <w:t>8-K, dated January 7, 2026, Exhibit 10.2)</w:t>
              </w:r>
            </w:hyperlink>
          </w:p>
        </w:tc>
        <w:tc>
          <w:tcPr>
            <w:tcW w:w="6920" w:type="dxa"/>
            <w:vAlign w:val="bottom"/>
            <w:tcBorders>
              <w:top w:val="single" w:sz="8" w:color="0000FF"/>
            </w:tcBorders>
            <w:gridSpan w:val="9"/>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40" w:type="dxa"/>
            <w:vAlign w:val="bottom"/>
            <w:gridSpan w:val="3"/>
            <w:vMerge w:val="restart"/>
          </w:tcPr>
          <w:p>
            <w:pPr>
              <w:spacing w:after="0"/>
              <w:rPr>
                <w:rFonts w:ascii="Arial" w:cs="Arial" w:eastAsia="Arial" w:hAnsi="Arial"/>
                <w:sz w:val="16"/>
                <w:szCs w:val="16"/>
                <w:color w:val="0000FF"/>
              </w:rPr>
            </w:pPr>
            <w:hyperlink r:id="rId141">
              <w:r>
                <w:rPr>
                  <w:rFonts w:ascii="Arial" w:cs="Arial" w:eastAsia="Arial" w:hAnsi="Arial"/>
                  <w:sz w:val="16"/>
                  <w:szCs w:val="16"/>
                  <w:color w:val="0000FF"/>
                </w:rPr>
                <w:t>10.</w:t>
              </w:r>
              <w:r>
                <w:rPr>
                  <w:rFonts w:ascii="Arial" w:cs="Arial" w:eastAsia="Arial" w:hAnsi="Arial"/>
                  <w:sz w:val="16"/>
                  <w:szCs w:val="16"/>
                  <w:u w:val="single" w:color="auto"/>
                  <w:color w:val="0000FF"/>
                </w:rPr>
                <w:t>3*</w:t>
              </w:r>
            </w:hyperlink>
          </w:p>
        </w:tc>
        <w:tc>
          <w:tcPr>
            <w:tcW w:w="88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6"/>
                <w:szCs w:val="16"/>
                <w:color w:val="0000FF"/>
              </w:rPr>
            </w:pPr>
            <w:hyperlink r:id="rId141">
              <w:r>
                <w:rPr>
                  <w:rFonts w:ascii="Arial" w:cs="Arial" w:eastAsia="Arial" w:hAnsi="Arial"/>
                  <w:sz w:val="16"/>
                  <w:szCs w:val="16"/>
                  <w:color w:val="0000FF"/>
                </w:rPr>
                <w:t>Amendment No. 3 to Credit Agreement, dated August 2, 2023, among Calpine Construction Finance Company, L.P., as borrower, the</w:t>
              </w:r>
            </w:hyperlink>
          </w:p>
        </w:tc>
        <w:tc>
          <w:tcPr>
            <w:tcW w:w="0" w:type="dxa"/>
            <w:vAlign w:val="bottom"/>
          </w:tcPr>
          <w:p>
            <w:pPr>
              <w:spacing w:after="0"/>
              <w:rPr>
                <w:sz w:val="1"/>
                <w:szCs w:val="1"/>
                <w:color w:val="auto"/>
              </w:rPr>
            </w:pPr>
          </w:p>
        </w:tc>
      </w:tr>
      <w:tr>
        <w:trPr>
          <w:trHeight w:val="169"/>
        </w:trPr>
        <w:tc>
          <w:tcPr>
            <w:tcW w:w="44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9980" w:type="dxa"/>
            <w:vAlign w:val="bottom"/>
            <w:tcBorders>
              <w:top w:val="single" w:sz="8" w:color="0000FF"/>
            </w:tcBorders>
            <w:gridSpan w:val="17"/>
          </w:tcPr>
          <w:p>
            <w:pPr>
              <w:spacing w:after="0" w:line="169" w:lineRule="exact"/>
              <w:rPr>
                <w:rFonts w:ascii="Arial" w:cs="Arial" w:eastAsia="Arial" w:hAnsi="Arial"/>
                <w:sz w:val="16"/>
                <w:szCs w:val="16"/>
                <w:color w:val="0000FF"/>
              </w:rPr>
            </w:pPr>
            <w:hyperlink r:id="rId141">
              <w:r>
                <w:rPr>
                  <w:rFonts w:ascii="Arial" w:cs="Arial" w:eastAsia="Arial" w:hAnsi="Arial"/>
                  <w:sz w:val="16"/>
                  <w:szCs w:val="16"/>
                  <w:color w:val="0000FF"/>
                </w:rPr>
                <w:t>lenders party thereto, and Credit Suisse AG, Cayman Islands Branch, as administrative agent and collateral agent (File No. 001-41137,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380" w:type="dxa"/>
            <w:vAlign w:val="bottom"/>
            <w:tcBorders>
              <w:top w:val="single" w:sz="8" w:color="0000FF"/>
              <w:bottom w:val="single" w:sz="8" w:color="0000FF"/>
            </w:tcBorders>
            <w:gridSpan w:val="4"/>
          </w:tcPr>
          <w:p>
            <w:pPr>
              <w:spacing w:after="0" w:line="183" w:lineRule="exact"/>
              <w:rPr>
                <w:rFonts w:ascii="Arial" w:cs="Arial" w:eastAsia="Arial" w:hAnsi="Arial"/>
                <w:sz w:val="16"/>
                <w:szCs w:val="16"/>
                <w:color w:val="0000FF"/>
              </w:rPr>
            </w:pPr>
            <w:hyperlink r:id="rId141">
              <w:r>
                <w:rPr>
                  <w:rFonts w:ascii="Arial" w:cs="Arial" w:eastAsia="Arial" w:hAnsi="Arial"/>
                  <w:sz w:val="16"/>
                  <w:szCs w:val="16"/>
                  <w:color w:val="0000FF"/>
                </w:rPr>
                <w:t>Form 8-K, dated January 7, 2026, Exhibit 10.3)</w:t>
              </w:r>
            </w:hyperlink>
          </w:p>
        </w:tc>
        <w:tc>
          <w:tcPr>
            <w:tcW w:w="6580" w:type="dxa"/>
            <w:vAlign w:val="bottom"/>
            <w:tcBorders>
              <w:top w:val="single" w:sz="8" w:color="0000FF"/>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40" w:type="dxa"/>
            <w:vAlign w:val="bottom"/>
            <w:gridSpan w:val="3"/>
            <w:vMerge w:val="restart"/>
          </w:tcPr>
          <w:p>
            <w:pPr>
              <w:spacing w:after="0"/>
              <w:rPr>
                <w:rFonts w:ascii="Arial" w:cs="Arial" w:eastAsia="Arial" w:hAnsi="Arial"/>
                <w:sz w:val="16"/>
                <w:szCs w:val="16"/>
                <w:color w:val="0000FF"/>
              </w:rPr>
            </w:pPr>
            <w:hyperlink r:id="rId142">
              <w:r>
                <w:rPr>
                  <w:rFonts w:ascii="Arial" w:cs="Arial" w:eastAsia="Arial" w:hAnsi="Arial"/>
                  <w:sz w:val="16"/>
                  <w:szCs w:val="16"/>
                  <w:color w:val="0000FF"/>
                </w:rPr>
                <w:t>10.</w:t>
              </w:r>
              <w:r>
                <w:rPr>
                  <w:rFonts w:ascii="Arial" w:cs="Arial" w:eastAsia="Arial" w:hAnsi="Arial"/>
                  <w:sz w:val="16"/>
                  <w:szCs w:val="16"/>
                  <w:u w:val="single" w:color="auto"/>
                  <w:color w:val="0000FF"/>
                </w:rPr>
                <w:t>4*</w:t>
              </w:r>
            </w:hyperlink>
          </w:p>
        </w:tc>
        <w:tc>
          <w:tcPr>
            <w:tcW w:w="88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6"/>
                <w:szCs w:val="16"/>
                <w:color w:val="0000FF"/>
              </w:rPr>
            </w:pPr>
            <w:hyperlink r:id="rId142">
              <w:r>
                <w:rPr>
                  <w:rFonts w:ascii="Arial" w:cs="Arial" w:eastAsia="Arial" w:hAnsi="Arial"/>
                  <w:sz w:val="16"/>
                  <w:szCs w:val="16"/>
                  <w:color w:val="0000FF"/>
                </w:rPr>
                <w:t>Amendment No. 4 to Credit Agreement, dated June 6, 2024, among Calpine Construction Finance Company, L.P., as borrower, the</w:t>
              </w:r>
            </w:hyperlink>
          </w:p>
        </w:tc>
        <w:tc>
          <w:tcPr>
            <w:tcW w:w="0" w:type="dxa"/>
            <w:vAlign w:val="bottom"/>
          </w:tcPr>
          <w:p>
            <w:pPr>
              <w:spacing w:after="0"/>
              <w:rPr>
                <w:sz w:val="1"/>
                <w:szCs w:val="1"/>
                <w:color w:val="auto"/>
              </w:rPr>
            </w:pPr>
          </w:p>
        </w:tc>
      </w:tr>
      <w:tr>
        <w:trPr>
          <w:trHeight w:val="169"/>
        </w:trPr>
        <w:tc>
          <w:tcPr>
            <w:tcW w:w="44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992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142">
              <w:r>
                <w:rPr>
                  <w:rFonts w:ascii="Arial" w:cs="Arial" w:eastAsia="Arial" w:hAnsi="Arial"/>
                  <w:sz w:val="16"/>
                  <w:szCs w:val="16"/>
                  <w:color w:val="0000FF"/>
                </w:rPr>
                <w:t>lenders party thereto, and Citibank, N.A., as administrative agent and collateral agent (File No. 001-41137, Form 8-K, dated January 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rPr>
            </w:pPr>
            <w:hyperlink r:id="rId142">
              <w:r>
                <w:rPr>
                  <w:rFonts w:ascii="Arial" w:cs="Arial" w:eastAsia="Arial" w:hAnsi="Arial"/>
                  <w:sz w:val="16"/>
                  <w:szCs w:val="16"/>
                  <w:color w:val="0000FF"/>
                </w:rPr>
                <w:t>2026, Exhibit 10.4)</w:t>
              </w:r>
            </w:hyperlink>
          </w:p>
        </w:tc>
        <w:tc>
          <w:tcPr>
            <w:tcW w:w="860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40" w:type="dxa"/>
            <w:vAlign w:val="bottom"/>
            <w:gridSpan w:val="3"/>
            <w:vMerge w:val="restart"/>
          </w:tcPr>
          <w:p>
            <w:pPr>
              <w:spacing w:after="0"/>
              <w:rPr>
                <w:rFonts w:ascii="Arial" w:cs="Arial" w:eastAsia="Arial" w:hAnsi="Arial"/>
                <w:sz w:val="16"/>
                <w:szCs w:val="16"/>
                <w:color w:val="0000FF"/>
              </w:rPr>
            </w:pPr>
            <w:hyperlink r:id="rId143">
              <w:r>
                <w:rPr>
                  <w:rFonts w:ascii="Arial" w:cs="Arial" w:eastAsia="Arial" w:hAnsi="Arial"/>
                  <w:sz w:val="16"/>
                  <w:szCs w:val="16"/>
                  <w:color w:val="0000FF"/>
                </w:rPr>
                <w:t>10.</w:t>
              </w:r>
              <w:r>
                <w:rPr>
                  <w:rFonts w:ascii="Arial" w:cs="Arial" w:eastAsia="Arial" w:hAnsi="Arial"/>
                  <w:sz w:val="16"/>
                  <w:szCs w:val="16"/>
                  <w:u w:val="single" w:color="auto"/>
                  <w:color w:val="0000FF"/>
                </w:rPr>
                <w:t>5*</w:t>
              </w:r>
            </w:hyperlink>
          </w:p>
        </w:tc>
        <w:tc>
          <w:tcPr>
            <w:tcW w:w="88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6"/>
                <w:szCs w:val="16"/>
                <w:color w:val="0000FF"/>
              </w:rPr>
            </w:pPr>
            <w:hyperlink r:id="rId143">
              <w:r>
                <w:rPr>
                  <w:rFonts w:ascii="Arial" w:cs="Arial" w:eastAsia="Arial" w:hAnsi="Arial"/>
                  <w:sz w:val="16"/>
                  <w:szCs w:val="16"/>
                  <w:color w:val="0000FF"/>
                </w:rPr>
                <w:t>2024 Incremental Term Loan Commitment Supplement, dated September 16, 2024, among Calpine Construction Finance Company, L.P.,</w:t>
              </w:r>
            </w:hyperlink>
          </w:p>
        </w:tc>
        <w:tc>
          <w:tcPr>
            <w:tcW w:w="0" w:type="dxa"/>
            <w:vAlign w:val="bottom"/>
          </w:tcPr>
          <w:p>
            <w:pPr>
              <w:spacing w:after="0"/>
              <w:rPr>
                <w:sz w:val="1"/>
                <w:szCs w:val="1"/>
                <w:color w:val="auto"/>
              </w:rPr>
            </w:pPr>
          </w:p>
        </w:tc>
      </w:tr>
      <w:tr>
        <w:trPr>
          <w:trHeight w:val="169"/>
        </w:trPr>
        <w:tc>
          <w:tcPr>
            <w:tcW w:w="44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994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143">
              <w:r>
                <w:rPr>
                  <w:rFonts w:ascii="Arial" w:cs="Arial" w:eastAsia="Arial" w:hAnsi="Arial"/>
                  <w:sz w:val="16"/>
                  <w:szCs w:val="16"/>
                  <w:color w:val="0000FF"/>
                </w:rPr>
                <w:t>as borrower, the lenders party thereto, and Citibank, N.A., as administrative agent and collateral agent (File No. 001-41137, Form 8-K,</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rPr>
            </w:pPr>
            <w:hyperlink r:id="rId143">
              <w:r>
                <w:rPr>
                  <w:rFonts w:ascii="Arial" w:cs="Arial" w:eastAsia="Arial" w:hAnsi="Arial"/>
                  <w:sz w:val="16"/>
                  <w:szCs w:val="16"/>
                  <w:color w:val="0000FF"/>
                </w:rPr>
                <w:t>dated January 7, 2026, Exhibit 10.5)</w:t>
              </w:r>
            </w:hyperlink>
          </w:p>
        </w:tc>
        <w:tc>
          <w:tcPr>
            <w:tcW w:w="7260" w:type="dxa"/>
            <w:vAlign w:val="bottom"/>
            <w:tcBorders>
              <w:top w:val="single" w:sz="8" w:color="0000FF"/>
            </w:tcBorders>
            <w:gridSpan w:val="10"/>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40" w:type="dxa"/>
            <w:vAlign w:val="bottom"/>
            <w:gridSpan w:val="3"/>
            <w:vMerge w:val="restart"/>
          </w:tcPr>
          <w:p>
            <w:pPr>
              <w:spacing w:after="0"/>
              <w:rPr>
                <w:rFonts w:ascii="Arial" w:cs="Arial" w:eastAsia="Arial" w:hAnsi="Arial"/>
                <w:sz w:val="16"/>
                <w:szCs w:val="16"/>
                <w:color w:val="0000FF"/>
              </w:rPr>
            </w:pPr>
            <w:hyperlink r:id="rId144">
              <w:r>
                <w:rPr>
                  <w:rFonts w:ascii="Arial" w:cs="Arial" w:eastAsia="Arial" w:hAnsi="Arial"/>
                  <w:sz w:val="16"/>
                  <w:szCs w:val="16"/>
                  <w:color w:val="0000FF"/>
                </w:rPr>
                <w:t>10.</w:t>
              </w:r>
              <w:r>
                <w:rPr>
                  <w:rFonts w:ascii="Arial" w:cs="Arial" w:eastAsia="Arial" w:hAnsi="Arial"/>
                  <w:sz w:val="16"/>
                  <w:szCs w:val="16"/>
                  <w:u w:val="single" w:color="auto"/>
                  <w:color w:val="0000FF"/>
                </w:rPr>
                <w:t>6*</w:t>
              </w:r>
            </w:hyperlink>
          </w:p>
        </w:tc>
        <w:tc>
          <w:tcPr>
            <w:tcW w:w="88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6"/>
                <w:szCs w:val="16"/>
                <w:color w:val="0000FF"/>
              </w:rPr>
            </w:pPr>
            <w:hyperlink r:id="rId144">
              <w:r>
                <w:rPr>
                  <w:rFonts w:ascii="Arial" w:cs="Arial" w:eastAsia="Arial" w:hAnsi="Arial"/>
                  <w:sz w:val="16"/>
                  <w:szCs w:val="16"/>
                  <w:color w:val="0000FF"/>
                </w:rPr>
                <w:t>Amendment No. 5 to Credit Agreement, dated November 18, 2025, among Calpine Construction Finance Company, L.P., as borrower, the</w:t>
              </w:r>
            </w:hyperlink>
          </w:p>
        </w:tc>
        <w:tc>
          <w:tcPr>
            <w:tcW w:w="0" w:type="dxa"/>
            <w:vAlign w:val="bottom"/>
          </w:tcPr>
          <w:p>
            <w:pPr>
              <w:spacing w:after="0"/>
              <w:rPr>
                <w:sz w:val="1"/>
                <w:szCs w:val="1"/>
                <w:color w:val="auto"/>
              </w:rPr>
            </w:pPr>
          </w:p>
        </w:tc>
      </w:tr>
      <w:tr>
        <w:trPr>
          <w:trHeight w:val="169"/>
        </w:trPr>
        <w:tc>
          <w:tcPr>
            <w:tcW w:w="44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994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144">
              <w:r>
                <w:rPr>
                  <w:rFonts w:ascii="Arial" w:cs="Arial" w:eastAsia="Arial" w:hAnsi="Arial"/>
                  <w:sz w:val="16"/>
                  <w:szCs w:val="16"/>
                  <w:color w:val="0000FF"/>
                </w:rPr>
                <w:t>lenders party thereto, and Citibank, N.A., as administrative agent and collateral agent (File No. 001-41137, Form 8-K, dated January 7,</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rPr>
            </w:pPr>
            <w:hyperlink r:id="rId144">
              <w:r>
                <w:rPr>
                  <w:rFonts w:ascii="Arial" w:cs="Arial" w:eastAsia="Arial" w:hAnsi="Arial"/>
                  <w:sz w:val="16"/>
                  <w:szCs w:val="16"/>
                  <w:color w:val="0000FF"/>
                </w:rPr>
                <w:t>2026, Exhibit 10.6)</w:t>
              </w:r>
            </w:hyperlink>
          </w:p>
        </w:tc>
        <w:tc>
          <w:tcPr>
            <w:tcW w:w="860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40" w:type="dxa"/>
            <w:vAlign w:val="bottom"/>
            <w:gridSpan w:val="3"/>
            <w:vMerge w:val="restart"/>
          </w:tcPr>
          <w:p>
            <w:pPr>
              <w:spacing w:after="0"/>
              <w:rPr>
                <w:rFonts w:ascii="Arial" w:cs="Arial" w:eastAsia="Arial" w:hAnsi="Arial"/>
                <w:sz w:val="16"/>
                <w:szCs w:val="16"/>
                <w:color w:val="0000FF"/>
              </w:rPr>
            </w:pPr>
            <w:hyperlink r:id="rId145">
              <w:r>
                <w:rPr>
                  <w:rFonts w:ascii="Arial" w:cs="Arial" w:eastAsia="Arial" w:hAnsi="Arial"/>
                  <w:sz w:val="16"/>
                  <w:szCs w:val="16"/>
                  <w:color w:val="0000FF"/>
                </w:rPr>
                <w:t>10.</w:t>
              </w:r>
              <w:r>
                <w:rPr>
                  <w:rFonts w:ascii="Arial" w:cs="Arial" w:eastAsia="Arial" w:hAnsi="Arial"/>
                  <w:sz w:val="16"/>
                  <w:szCs w:val="16"/>
                  <w:u w:val="single" w:color="auto"/>
                  <w:color w:val="0000FF"/>
                </w:rPr>
                <w:t>7*</w:t>
              </w:r>
            </w:hyperlink>
          </w:p>
        </w:tc>
        <w:tc>
          <w:tcPr>
            <w:tcW w:w="88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6"/>
                <w:szCs w:val="16"/>
                <w:color w:val="0000FF"/>
              </w:rPr>
            </w:pPr>
            <w:hyperlink r:id="rId145">
              <w:r>
                <w:rPr>
                  <w:rFonts w:ascii="Arial" w:cs="Arial" w:eastAsia="Arial" w:hAnsi="Arial"/>
                  <w:sz w:val="16"/>
                  <w:szCs w:val="16"/>
                  <w:color w:val="0000FF"/>
                </w:rPr>
                <w:t>Credit Agreement, dated June 9, 2020, among Geysers Power Company, LLC, the guarantors party thereto, MUFG Bank, Ltd, as</w:t>
              </w:r>
            </w:hyperlink>
          </w:p>
        </w:tc>
        <w:tc>
          <w:tcPr>
            <w:tcW w:w="0" w:type="dxa"/>
            <w:vAlign w:val="bottom"/>
          </w:tcPr>
          <w:p>
            <w:pPr>
              <w:spacing w:after="0"/>
              <w:rPr>
                <w:sz w:val="1"/>
                <w:szCs w:val="1"/>
                <w:color w:val="auto"/>
              </w:rPr>
            </w:pPr>
          </w:p>
        </w:tc>
      </w:tr>
      <w:tr>
        <w:trPr>
          <w:trHeight w:val="169"/>
        </w:trPr>
        <w:tc>
          <w:tcPr>
            <w:tcW w:w="44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990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145">
              <w:r>
                <w:rPr>
                  <w:rFonts w:ascii="Arial" w:cs="Arial" w:eastAsia="Arial" w:hAnsi="Arial"/>
                  <w:sz w:val="16"/>
                  <w:szCs w:val="16"/>
                  <w:color w:val="0000FF"/>
                </w:rPr>
                <w:t>administrative agent, MUFG Union Bank, N.A., as first lien collateral agent, and the lenders and issuing banks parties thereto (File No.</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960" w:type="dxa"/>
            <w:vAlign w:val="bottom"/>
            <w:tcBorders>
              <w:top w:val="single" w:sz="8" w:color="0000FF"/>
            </w:tcBorders>
            <w:gridSpan w:val="16"/>
          </w:tcPr>
          <w:p>
            <w:pPr>
              <w:spacing w:after="0" w:line="183" w:lineRule="exact"/>
              <w:rPr>
                <w:rFonts w:ascii="Arial" w:cs="Arial" w:eastAsia="Arial" w:hAnsi="Arial"/>
                <w:sz w:val="16"/>
                <w:szCs w:val="16"/>
                <w:color w:val="0000FF"/>
              </w:rPr>
            </w:pPr>
            <w:hyperlink r:id="rId145">
              <w:r>
                <w:rPr>
                  <w:rFonts w:ascii="Arial" w:cs="Arial" w:eastAsia="Arial" w:hAnsi="Arial"/>
                  <w:sz w:val="16"/>
                  <w:szCs w:val="16"/>
                  <w:color w:val="0000FF"/>
                </w:rPr>
                <w:t>001-41137, Form 8-K, dated January 7, 2026, Exhibit 10.7)</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gridSpan w:val="3"/>
            <w:vMerge w:val="restart"/>
          </w:tcPr>
          <w:p>
            <w:pPr>
              <w:spacing w:after="0"/>
              <w:rPr>
                <w:rFonts w:ascii="Arial" w:cs="Arial" w:eastAsia="Arial" w:hAnsi="Arial"/>
                <w:sz w:val="16"/>
                <w:szCs w:val="16"/>
                <w:color w:val="0000FF"/>
              </w:rPr>
            </w:pPr>
            <w:hyperlink r:id="rId146">
              <w:r>
                <w:rPr>
                  <w:rFonts w:ascii="Arial" w:cs="Arial" w:eastAsia="Arial" w:hAnsi="Arial"/>
                  <w:sz w:val="16"/>
                  <w:szCs w:val="16"/>
                  <w:color w:val="0000FF"/>
                </w:rPr>
                <w:t>10.</w:t>
              </w:r>
              <w:r>
                <w:rPr>
                  <w:rFonts w:ascii="Arial" w:cs="Arial" w:eastAsia="Arial" w:hAnsi="Arial"/>
                  <w:sz w:val="16"/>
                  <w:szCs w:val="16"/>
                  <w:u w:val="single" w:color="auto"/>
                  <w:color w:val="0000FF"/>
                </w:rPr>
                <w:t>8*</w:t>
              </w:r>
            </w:hyperlink>
          </w:p>
        </w:tc>
        <w:tc>
          <w:tcPr>
            <w:tcW w:w="88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6"/>
                <w:szCs w:val="16"/>
                <w:color w:val="0000FF"/>
              </w:rPr>
            </w:pPr>
            <w:hyperlink r:id="rId146">
              <w:r>
                <w:rPr>
                  <w:rFonts w:ascii="Arial" w:cs="Arial" w:eastAsia="Arial" w:hAnsi="Arial"/>
                  <w:sz w:val="16"/>
                  <w:szCs w:val="16"/>
                  <w:color w:val="0000FF"/>
                </w:rPr>
                <w:t>Omnibus Amendment Agreement, dated November 9, 2021, among Geysers Power Company, LLC, the guarantors party thereto, MUFG</w:t>
              </w:r>
            </w:hyperlink>
          </w:p>
        </w:tc>
        <w:tc>
          <w:tcPr>
            <w:tcW w:w="0" w:type="dxa"/>
            <w:vAlign w:val="bottom"/>
          </w:tcPr>
          <w:p>
            <w:pPr>
              <w:spacing w:after="0"/>
              <w:rPr>
                <w:sz w:val="1"/>
                <w:szCs w:val="1"/>
                <w:color w:val="auto"/>
              </w:rPr>
            </w:pPr>
          </w:p>
        </w:tc>
      </w:tr>
      <w:tr>
        <w:trPr>
          <w:trHeight w:val="169"/>
        </w:trPr>
        <w:tc>
          <w:tcPr>
            <w:tcW w:w="44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9880" w:type="dxa"/>
            <w:vAlign w:val="bottom"/>
            <w:tcBorders>
              <w:top w:val="single" w:sz="8" w:color="0000FF"/>
            </w:tcBorders>
            <w:gridSpan w:val="12"/>
          </w:tcPr>
          <w:p>
            <w:pPr>
              <w:spacing w:after="0" w:line="169" w:lineRule="exact"/>
              <w:rPr>
                <w:rFonts w:ascii="Arial" w:cs="Arial" w:eastAsia="Arial" w:hAnsi="Arial"/>
                <w:sz w:val="16"/>
                <w:szCs w:val="16"/>
                <w:color w:val="0000FF"/>
              </w:rPr>
            </w:pPr>
            <w:hyperlink r:id="rId146">
              <w:r>
                <w:rPr>
                  <w:rFonts w:ascii="Arial" w:cs="Arial" w:eastAsia="Arial" w:hAnsi="Arial"/>
                  <w:sz w:val="16"/>
                  <w:szCs w:val="16"/>
                  <w:color w:val="0000FF"/>
                </w:rPr>
                <w:t>Bank, Ltd, as administrative agent, MUFG Union Bank, N.A., as first lien collateral agent, and the lenders and issuing banks parties</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40" w:type="dxa"/>
            <w:vAlign w:val="bottom"/>
            <w:tcBorders>
              <w:top w:val="single" w:sz="8" w:color="0000FF"/>
              <w:bottom w:val="single" w:sz="8" w:color="0000FF"/>
            </w:tcBorders>
            <w:gridSpan w:val="7"/>
          </w:tcPr>
          <w:p>
            <w:pPr>
              <w:spacing w:after="0" w:line="183" w:lineRule="exact"/>
              <w:rPr>
                <w:rFonts w:ascii="Arial" w:cs="Arial" w:eastAsia="Arial" w:hAnsi="Arial"/>
                <w:sz w:val="16"/>
                <w:szCs w:val="16"/>
                <w:color w:val="0000FF"/>
              </w:rPr>
            </w:pPr>
            <w:hyperlink r:id="rId146">
              <w:r>
                <w:rPr>
                  <w:rFonts w:ascii="Arial" w:cs="Arial" w:eastAsia="Arial" w:hAnsi="Arial"/>
                  <w:sz w:val="16"/>
                  <w:szCs w:val="16"/>
                  <w:color w:val="0000FF"/>
                </w:rPr>
                <w:t>thereto (File No. 001-41137, Form 8-K, dated January 7, 2026, Exhibit 10.8)</w:t>
              </w:r>
            </w:hyperlink>
          </w:p>
        </w:tc>
        <w:tc>
          <w:tcPr>
            <w:tcW w:w="4520" w:type="dxa"/>
            <w:vAlign w:val="bottom"/>
            <w:tcBorders>
              <w:top w:val="single" w:sz="8" w:color="0000FF"/>
            </w:tcBorders>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40" w:type="dxa"/>
            <w:vAlign w:val="bottom"/>
            <w:gridSpan w:val="3"/>
            <w:vMerge w:val="restart"/>
          </w:tcPr>
          <w:p>
            <w:pPr>
              <w:spacing w:after="0"/>
              <w:rPr>
                <w:rFonts w:ascii="Arial" w:cs="Arial" w:eastAsia="Arial" w:hAnsi="Arial"/>
                <w:sz w:val="16"/>
                <w:szCs w:val="16"/>
                <w:color w:val="0000FF"/>
              </w:rPr>
            </w:pPr>
            <w:hyperlink r:id="rId147">
              <w:r>
                <w:rPr>
                  <w:rFonts w:ascii="Arial" w:cs="Arial" w:eastAsia="Arial" w:hAnsi="Arial"/>
                  <w:sz w:val="16"/>
                  <w:szCs w:val="16"/>
                  <w:color w:val="0000FF"/>
                </w:rPr>
                <w:t>10.</w:t>
              </w:r>
              <w:r>
                <w:rPr>
                  <w:rFonts w:ascii="Arial" w:cs="Arial" w:eastAsia="Arial" w:hAnsi="Arial"/>
                  <w:sz w:val="16"/>
                  <w:szCs w:val="16"/>
                  <w:u w:val="single" w:color="auto"/>
                  <w:color w:val="0000FF"/>
                </w:rPr>
                <w:t>9*</w:t>
              </w:r>
            </w:hyperlink>
          </w:p>
        </w:tc>
        <w:tc>
          <w:tcPr>
            <w:tcW w:w="88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6"/>
                <w:szCs w:val="16"/>
                <w:color w:val="0000FF"/>
              </w:rPr>
            </w:pPr>
            <w:hyperlink r:id="rId147">
              <w:r>
                <w:rPr>
                  <w:rFonts w:ascii="Arial" w:cs="Arial" w:eastAsia="Arial" w:hAnsi="Arial"/>
                  <w:sz w:val="16"/>
                  <w:szCs w:val="16"/>
                  <w:color w:val="0000FF"/>
                </w:rPr>
                <w:t>Second Omnibus Amendment Agreement, dated May 31, 2022, among Geysers Power Company, LLC, the guarantors party thereto,</w:t>
              </w:r>
            </w:hyperlink>
          </w:p>
        </w:tc>
        <w:tc>
          <w:tcPr>
            <w:tcW w:w="0" w:type="dxa"/>
            <w:vAlign w:val="bottom"/>
          </w:tcPr>
          <w:p>
            <w:pPr>
              <w:spacing w:after="0"/>
              <w:rPr>
                <w:sz w:val="1"/>
                <w:szCs w:val="1"/>
                <w:color w:val="auto"/>
              </w:rPr>
            </w:pPr>
          </w:p>
        </w:tc>
      </w:tr>
      <w:tr>
        <w:trPr>
          <w:trHeight w:val="169"/>
        </w:trPr>
        <w:tc>
          <w:tcPr>
            <w:tcW w:w="44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996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MUFG Bank, Ltd, as administrative agent, MUFG Union Bank, N.A., as first lien collateral agent, and the lenders and issuing banks</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147">
              <w:r>
                <w:rPr>
                  <w:rFonts w:ascii="Arial" w:cs="Arial" w:eastAsia="Arial" w:hAnsi="Arial"/>
                  <w:sz w:val="16"/>
                  <w:szCs w:val="16"/>
                  <w:color w:val="0000FF"/>
                </w:rPr>
                <w:t>parties thereto (File No. 001-41137, Form 8-K, dated January 7, 2026, Exhibit 10.9)</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Certifications Pursuant to Rule 13a-14(a) and 15d-14(a) of the Exchange Act as to the Quarterly Report on Form 10-Q for the quarterly period ended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31, 2026 filed by the following officers for the following registrants: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320" w:type="dxa"/>
            <w:vAlign w:val="bottom"/>
            <w:gridSpan w:val="3"/>
          </w:tcPr>
          <w:p>
            <w:pPr>
              <w:spacing w:after="0"/>
              <w:rPr>
                <w:sz w:val="20"/>
                <w:szCs w:val="20"/>
                <w:color w:val="auto"/>
              </w:rPr>
            </w:pPr>
            <w:r>
              <w:rPr>
                <w:rFonts w:ascii="Arial" w:cs="Arial" w:eastAsia="Arial" w:hAnsi="Arial"/>
                <w:sz w:val="13"/>
                <w:szCs w:val="13"/>
                <w:b w:val="1"/>
                <w:bCs w:val="1"/>
                <w:color w:val="auto"/>
              </w:rPr>
              <w:t>Exhibit No.</w:t>
            </w:r>
          </w:p>
        </w:tc>
        <w:tc>
          <w:tcPr>
            <w:tcW w:w="5020" w:type="dxa"/>
            <w:vAlign w:val="bottom"/>
            <w:gridSpan w:val="5"/>
          </w:tcPr>
          <w:p>
            <w:pPr>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Filed by Joseph Dominguez for Constellation Energy Corporation</w:t>
            </w:r>
          </w:p>
        </w:tc>
        <w:tc>
          <w:tcPr>
            <w:tcW w:w="340" w:type="dxa"/>
            <w:vAlign w:val="bottom"/>
            <w:gridSpan w:val="2"/>
          </w:tcPr>
          <w:p>
            <w:pPr>
              <w:spacing w:after="0"/>
              <w:rPr>
                <w:sz w:val="19"/>
                <w:szCs w:val="19"/>
                <w:color w:val="auto"/>
              </w:rPr>
            </w:pPr>
          </w:p>
        </w:tc>
      </w:tr>
      <w:tr>
        <w:trPr>
          <w:trHeight w:val="277"/>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Filed by Shane P. Smith for Constellation Energy Corporation</w:t>
            </w:r>
          </w:p>
        </w:tc>
        <w:tc>
          <w:tcPr>
            <w:tcW w:w="620" w:type="dxa"/>
            <w:vAlign w:val="bottom"/>
            <w:gridSpan w:val="3"/>
          </w:tcPr>
          <w:p>
            <w:pPr>
              <w:spacing w:after="0"/>
              <w:rPr>
                <w:sz w:val="24"/>
                <w:szCs w:val="24"/>
                <w:color w:val="auto"/>
              </w:rPr>
            </w:pPr>
          </w:p>
        </w:tc>
      </w:tr>
      <w:tr>
        <w:trPr>
          <w:trHeight w:val="277"/>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3</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Filed by Joseph Dominguez for Constellation Energy Generation, LLC</w:t>
            </w:r>
          </w:p>
        </w:tc>
      </w:tr>
      <w:tr>
        <w:trPr>
          <w:trHeight w:val="277"/>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4</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Filed by Shane P. Smith for Constellation Energy Generation, LLC</w:t>
            </w:r>
          </w:p>
        </w:tc>
        <w:tc>
          <w:tcPr>
            <w:tcW w:w="280" w:type="dxa"/>
            <w:vAlign w:val="bottom"/>
          </w:tcPr>
          <w:p>
            <w:pPr>
              <w:spacing w:after="0"/>
              <w:rPr>
                <w:sz w:val="24"/>
                <w:szCs w:val="24"/>
                <w:color w:val="auto"/>
              </w:rPr>
            </w:pPr>
          </w:p>
        </w:tc>
      </w:tr>
    </w:tbl>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Certifications Pursuant to Section 1350 of Chapter 63 of Title 18 United States Code as to the Quarterly Report on Form 10-Q for the quarterly period ended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31, 2026 filed by the following officers for the following registrants: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320" w:type="dxa"/>
            <w:vAlign w:val="bottom"/>
            <w:gridSpan w:val="3"/>
          </w:tcPr>
          <w:p>
            <w:pPr>
              <w:spacing w:after="0"/>
              <w:rPr>
                <w:sz w:val="20"/>
                <w:szCs w:val="20"/>
                <w:color w:val="auto"/>
              </w:rPr>
            </w:pPr>
            <w:r>
              <w:rPr>
                <w:rFonts w:ascii="Arial" w:cs="Arial" w:eastAsia="Arial" w:hAnsi="Arial"/>
                <w:sz w:val="13"/>
                <w:szCs w:val="13"/>
                <w:b w:val="1"/>
                <w:bCs w:val="1"/>
                <w:color w:val="auto"/>
              </w:rPr>
              <w:t>Exhibit No.</w:t>
            </w:r>
          </w:p>
        </w:tc>
        <w:tc>
          <w:tcPr>
            <w:tcW w:w="9880" w:type="dxa"/>
            <w:vAlign w:val="bottom"/>
            <w:gridSpan w:val="6"/>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Filed by Joseph Dominguez for Constellation Energy Corporation</w:t>
            </w:r>
          </w:p>
        </w:tc>
        <w:tc>
          <w:tcPr>
            <w:tcW w:w="52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Filed by Shane P. Smith for Constellation Energy Corporation</w:t>
            </w:r>
          </w:p>
        </w:tc>
        <w:tc>
          <w:tcPr>
            <w:tcW w:w="54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3</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Filed by Joseph Dominguez for Constellation Energy Generation, LLC</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4</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Filed by Shane P. Smith for Constellation Energy Generation, LLC</w:t>
            </w:r>
          </w:p>
        </w:tc>
        <w:tc>
          <w:tcPr>
            <w:tcW w:w="5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320" w:type="dxa"/>
            <w:vAlign w:val="bottom"/>
            <w:gridSpan w:val="3"/>
          </w:tcPr>
          <w:p>
            <w:pPr>
              <w:spacing w:after="0"/>
              <w:rPr>
                <w:sz w:val="20"/>
                <w:szCs w:val="20"/>
                <w:color w:val="auto"/>
              </w:rPr>
            </w:pPr>
            <w:r>
              <w:rPr>
                <w:rFonts w:ascii="Arial" w:cs="Arial" w:eastAsia="Arial" w:hAnsi="Arial"/>
                <w:sz w:val="13"/>
                <w:szCs w:val="13"/>
                <w:b w:val="1"/>
                <w:bCs w:val="1"/>
                <w:color w:val="auto"/>
              </w:rPr>
              <w:t>Exhibit No.</w:t>
            </w:r>
          </w:p>
        </w:tc>
        <w:tc>
          <w:tcPr>
            <w:tcW w:w="9880" w:type="dxa"/>
            <w:vAlign w:val="bottom"/>
            <w:gridSpan w:val="6"/>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 w:type="dxa"/>
            <w:vAlign w:val="bottom"/>
            <w:gridSpan w:val="2"/>
            <w:vMerge w:val="restart"/>
          </w:tcPr>
          <w:p>
            <w:pPr>
              <w:spacing w:after="0"/>
              <w:rPr>
                <w:sz w:val="20"/>
                <w:szCs w:val="20"/>
                <w:color w:val="auto"/>
              </w:rPr>
            </w:pPr>
            <w:r>
              <w:rPr>
                <w:rFonts w:ascii="Arial" w:cs="Arial" w:eastAsia="Arial" w:hAnsi="Arial"/>
                <w:sz w:val="16"/>
                <w:szCs w:val="16"/>
                <w:color w:val="auto"/>
              </w:rPr>
              <w:t>101.INS</w:t>
            </w:r>
          </w:p>
        </w:tc>
        <w:tc>
          <w:tcPr>
            <w:tcW w:w="660" w:type="dxa"/>
            <w:vAlign w:val="bottom"/>
            <w:vMerge w:val="restart"/>
          </w:tcPr>
          <w:p>
            <w:pPr>
              <w:spacing w:after="0"/>
              <w:rPr>
                <w:sz w:val="20"/>
                <w:szCs w:val="20"/>
                <w:color w:val="auto"/>
              </w:rPr>
            </w:pPr>
          </w:p>
        </w:tc>
        <w:tc>
          <w:tcPr>
            <w:tcW w:w="9880" w:type="dxa"/>
            <w:vAlign w:val="bottom"/>
            <w:gridSpan w:val="6"/>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20"/>
        </w:trPr>
        <w:tc>
          <w:tcPr>
            <w:tcW w:w="6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9880" w:type="dxa"/>
            <w:vAlign w:val="bottom"/>
            <w:gridSpan w:val="6"/>
            <w:vMerge w:val="restart"/>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94"/>
        </w:trPr>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1320" w:type="dxa"/>
            <w:vAlign w:val="bottom"/>
            <w:gridSpan w:val="3"/>
          </w:tcPr>
          <w:p>
            <w:pPr>
              <w:spacing w:after="0"/>
              <w:rPr>
                <w:sz w:val="20"/>
                <w:szCs w:val="20"/>
                <w:color w:val="auto"/>
              </w:rPr>
            </w:pPr>
            <w:r>
              <w:rPr>
                <w:rFonts w:ascii="Arial" w:cs="Arial" w:eastAsia="Arial" w:hAnsi="Arial"/>
                <w:sz w:val="16"/>
                <w:szCs w:val="16"/>
                <w:color w:val="auto"/>
              </w:rPr>
              <w:t>101.SCH</w:t>
            </w:r>
          </w:p>
        </w:tc>
        <w:tc>
          <w:tcPr>
            <w:tcW w:w="988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97"/>
        </w:trPr>
        <w:tc>
          <w:tcPr>
            <w:tcW w:w="1320" w:type="dxa"/>
            <w:vAlign w:val="bottom"/>
            <w:gridSpan w:val="3"/>
          </w:tcPr>
          <w:p>
            <w:pPr>
              <w:spacing w:after="0"/>
              <w:rPr>
                <w:sz w:val="20"/>
                <w:szCs w:val="20"/>
                <w:color w:val="auto"/>
              </w:rPr>
            </w:pPr>
            <w:r>
              <w:rPr>
                <w:rFonts w:ascii="Arial" w:cs="Arial" w:eastAsia="Arial" w:hAnsi="Arial"/>
                <w:sz w:val="16"/>
                <w:szCs w:val="16"/>
                <w:color w:val="auto"/>
              </w:rPr>
              <w:t>101.CAL</w:t>
            </w:r>
          </w:p>
        </w:tc>
        <w:tc>
          <w:tcPr>
            <w:tcW w:w="988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1320" w:type="dxa"/>
            <w:vAlign w:val="bottom"/>
            <w:gridSpan w:val="3"/>
          </w:tcPr>
          <w:p>
            <w:pPr>
              <w:spacing w:after="0"/>
              <w:rPr>
                <w:sz w:val="20"/>
                <w:szCs w:val="20"/>
                <w:color w:val="auto"/>
              </w:rPr>
            </w:pPr>
            <w:r>
              <w:rPr>
                <w:rFonts w:ascii="Arial" w:cs="Arial" w:eastAsia="Arial" w:hAnsi="Arial"/>
                <w:sz w:val="16"/>
                <w:szCs w:val="16"/>
                <w:color w:val="auto"/>
              </w:rPr>
              <w:t>101.DEF</w:t>
            </w:r>
          </w:p>
        </w:tc>
        <w:tc>
          <w:tcPr>
            <w:tcW w:w="988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1320" w:type="dxa"/>
            <w:vAlign w:val="bottom"/>
            <w:gridSpan w:val="3"/>
          </w:tcPr>
          <w:p>
            <w:pPr>
              <w:spacing w:after="0"/>
              <w:rPr>
                <w:sz w:val="20"/>
                <w:szCs w:val="20"/>
                <w:color w:val="auto"/>
              </w:rPr>
            </w:pPr>
            <w:r>
              <w:rPr>
                <w:rFonts w:ascii="Arial" w:cs="Arial" w:eastAsia="Arial" w:hAnsi="Arial"/>
                <w:sz w:val="16"/>
                <w:szCs w:val="16"/>
                <w:color w:val="auto"/>
              </w:rPr>
              <w:t>101.LAB</w:t>
            </w:r>
          </w:p>
        </w:tc>
        <w:tc>
          <w:tcPr>
            <w:tcW w:w="988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320" w:type="dxa"/>
            <w:vAlign w:val="bottom"/>
            <w:gridSpan w:val="3"/>
          </w:tcPr>
          <w:p>
            <w:pPr>
              <w:spacing w:after="0"/>
              <w:rPr>
                <w:sz w:val="20"/>
                <w:szCs w:val="20"/>
                <w:color w:val="auto"/>
              </w:rPr>
            </w:pPr>
            <w:r>
              <w:rPr>
                <w:rFonts w:ascii="Arial" w:cs="Arial" w:eastAsia="Arial" w:hAnsi="Arial"/>
                <w:sz w:val="16"/>
                <w:szCs w:val="16"/>
                <w:color w:val="auto"/>
              </w:rPr>
              <w:t>101.PRE</w:t>
            </w:r>
          </w:p>
        </w:tc>
        <w:tc>
          <w:tcPr>
            <w:tcW w:w="988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0"/>
                <w:szCs w:val="20"/>
                <w:color w:val="auto"/>
              </w:rPr>
            </w:pPr>
            <w:r>
              <w:rPr>
                <w:rFonts w:ascii="Arial" w:cs="Arial" w:eastAsia="Arial" w:hAnsi="Arial"/>
                <w:sz w:val="16"/>
                <w:szCs w:val="16"/>
                <w:color w:val="auto"/>
              </w:rPr>
              <w:t>104</w:t>
            </w: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80" w:type="dxa"/>
            <w:vAlign w:val="bottom"/>
            <w:gridSpan w:val="6"/>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right="920" w:firstLine="8"/>
        <w:spacing w:after="0" w:line="265" w:lineRule="auto"/>
        <w:tabs>
          <w:tab w:leader="none" w:pos="96" w:val="left"/>
        </w:tabs>
        <w:numPr>
          <w:ilvl w:val="0"/>
          <w:numId w:val="55"/>
        </w:numPr>
        <w:rPr>
          <w:rFonts w:ascii="Arial" w:cs="Arial" w:eastAsia="Arial" w:hAnsi="Arial"/>
          <w:sz w:val="14"/>
          <w:szCs w:val="14"/>
          <w:color w:val="auto"/>
        </w:rPr>
      </w:pPr>
      <w:r>
        <w:rPr>
          <w:rFonts w:ascii="Arial" w:cs="Arial" w:eastAsia="Arial" w:hAnsi="Arial"/>
          <w:sz w:val="14"/>
          <w:szCs w:val="14"/>
          <w:color w:val="auto"/>
        </w:rPr>
        <w:t>Schedules have been omitted pursuant to Item 601(b)(2) of Regulation S-K. CEG Parent will furnish the omitted schedules to the SEC upon request by the SEC. ** Portions of this exhibit have been redacted in accordance with Item 601(a)(6) of Regulation S-K.</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requirements of the Securities Exchange Act of 1934, the Registrant has duly caused this report to be signed on its behalf by the undersigned thereunto duly authorized.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40" w:type="dxa"/>
            <w:vAlign w:val="bottom"/>
            <w:gridSpan w:val="3"/>
          </w:tcPr>
          <w:p>
            <w:pPr>
              <w:ind w:left="2600"/>
              <w:spacing w:after="0"/>
              <w:rPr>
                <w:sz w:val="20"/>
                <w:szCs w:val="20"/>
                <w:color w:val="auto"/>
              </w:rPr>
            </w:pPr>
            <w:r>
              <w:rPr>
                <w:rFonts w:ascii="Arial" w:cs="Arial" w:eastAsia="Arial" w:hAnsi="Arial"/>
                <w:sz w:val="16"/>
                <w:szCs w:val="16"/>
                <w:b w:val="1"/>
                <w:bCs w:val="1"/>
                <w:color w:val="auto"/>
              </w:rPr>
              <w:t>CONSTELLATION ENERGY CORPORATION</w:t>
            </w:r>
          </w:p>
        </w:tc>
        <w:tc>
          <w:tcPr>
            <w:tcW w:w="4980" w:type="dxa"/>
            <w:vAlign w:val="bottom"/>
          </w:tcPr>
          <w:p>
            <w:pPr>
              <w:spacing w:after="0"/>
              <w:rPr>
                <w:sz w:val="19"/>
                <w:szCs w:val="19"/>
                <w:color w:val="auto"/>
              </w:rPr>
            </w:pPr>
          </w:p>
        </w:tc>
      </w:tr>
      <w:tr>
        <w:trPr>
          <w:trHeight w:val="398"/>
        </w:trPr>
        <w:tc>
          <w:tcPr>
            <w:tcW w:w="6240" w:type="dxa"/>
            <w:vAlign w:val="bottom"/>
            <w:gridSpan w:val="3"/>
          </w:tcPr>
          <w:p>
            <w:pPr>
              <w:jc w:val="center"/>
              <w:ind w:right="700"/>
              <w:spacing w:after="0"/>
              <w:rPr>
                <w:sz w:val="20"/>
                <w:szCs w:val="20"/>
                <w:color w:val="auto"/>
              </w:rPr>
            </w:pPr>
            <w:r>
              <w:rPr>
                <w:rFonts w:ascii="Arial" w:cs="Arial" w:eastAsia="Arial" w:hAnsi="Arial"/>
                <w:sz w:val="16"/>
                <w:szCs w:val="16"/>
                <w:color w:val="auto"/>
              </w:rPr>
              <w:t>/s/ JOSEPH DOMINGUEZ</w:t>
            </w:r>
          </w:p>
        </w:tc>
        <w:tc>
          <w:tcPr>
            <w:tcW w:w="4980" w:type="dxa"/>
            <w:vAlign w:val="bottom"/>
          </w:tcPr>
          <w:p>
            <w:pPr>
              <w:jc w:val="center"/>
              <w:ind w:right="519"/>
              <w:spacing w:after="0"/>
              <w:rPr>
                <w:sz w:val="20"/>
                <w:szCs w:val="20"/>
                <w:color w:val="auto"/>
              </w:rPr>
            </w:pPr>
            <w:r>
              <w:rPr>
                <w:rFonts w:ascii="Arial" w:cs="Arial" w:eastAsia="Arial" w:hAnsi="Arial"/>
                <w:sz w:val="16"/>
                <w:szCs w:val="16"/>
                <w:color w:val="auto"/>
                <w:w w:val="99"/>
              </w:rPr>
              <w:t>/s/ SHANE P. SMITH</w:t>
            </w:r>
          </w:p>
        </w:tc>
      </w:tr>
      <w:tr>
        <w:trPr>
          <w:trHeight w:val="209"/>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Joseph Dominguez</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980" w:type="dxa"/>
            <w:vAlign w:val="bottom"/>
            <w:tcBorders>
              <w:top w:val="single" w:sz="8" w:color="auto"/>
            </w:tcBorders>
          </w:tcPr>
          <w:p>
            <w:pPr>
              <w:jc w:val="center"/>
              <w:ind w:right="499"/>
              <w:spacing w:after="0"/>
              <w:rPr>
                <w:sz w:val="20"/>
                <w:szCs w:val="20"/>
                <w:color w:val="auto"/>
              </w:rPr>
            </w:pPr>
            <w:r>
              <w:rPr>
                <w:rFonts w:ascii="Arial" w:cs="Arial" w:eastAsia="Arial" w:hAnsi="Arial"/>
                <w:sz w:val="16"/>
                <w:szCs w:val="16"/>
                <w:color w:val="auto"/>
              </w:rPr>
              <w:t>Shane P. Smith</w:t>
            </w:r>
          </w:p>
        </w:tc>
      </w:tr>
      <w:tr>
        <w:trPr>
          <w:trHeight w:val="163"/>
        </w:trPr>
        <w:tc>
          <w:tcPr>
            <w:tcW w:w="6240" w:type="dxa"/>
            <w:vAlign w:val="bottom"/>
            <w:gridSpan w:val="3"/>
          </w:tcPr>
          <w:p>
            <w:pPr>
              <w:jc w:val="center"/>
              <w:ind w:right="680"/>
              <w:spacing w:after="0" w:line="164" w:lineRule="exact"/>
              <w:rPr>
                <w:sz w:val="20"/>
                <w:szCs w:val="20"/>
                <w:color w:val="auto"/>
              </w:rPr>
            </w:pPr>
            <w:r>
              <w:rPr>
                <w:rFonts w:ascii="Arial" w:cs="Arial" w:eastAsia="Arial" w:hAnsi="Arial"/>
                <w:sz w:val="16"/>
                <w:szCs w:val="16"/>
                <w:color w:val="auto"/>
              </w:rPr>
              <w:t>President and Chief Executive Officer</w:t>
            </w:r>
          </w:p>
        </w:tc>
        <w:tc>
          <w:tcPr>
            <w:tcW w:w="4980" w:type="dxa"/>
            <w:vAlign w:val="bottom"/>
          </w:tcPr>
          <w:p>
            <w:pPr>
              <w:jc w:val="center"/>
              <w:ind w:right="559"/>
              <w:spacing w:after="0" w:line="164" w:lineRule="exact"/>
              <w:rPr>
                <w:sz w:val="20"/>
                <w:szCs w:val="20"/>
                <w:color w:val="auto"/>
              </w:rPr>
            </w:pPr>
            <w:r>
              <w:rPr>
                <w:rFonts w:ascii="Arial" w:cs="Arial" w:eastAsia="Arial" w:hAnsi="Arial"/>
                <w:sz w:val="16"/>
                <w:szCs w:val="16"/>
                <w:color w:val="auto"/>
              </w:rPr>
              <w:t>Executive Vice President and Chief Financial Officer</w:t>
            </w:r>
          </w:p>
        </w:tc>
      </w:tr>
      <w:tr>
        <w:trPr>
          <w:trHeight w:val="215"/>
        </w:trPr>
        <w:tc>
          <w:tcPr>
            <w:tcW w:w="6240" w:type="dxa"/>
            <w:vAlign w:val="bottom"/>
            <w:gridSpan w:val="3"/>
          </w:tcPr>
          <w:p>
            <w:pPr>
              <w:jc w:val="center"/>
              <w:ind w:right="680"/>
              <w:spacing w:after="0"/>
              <w:rPr>
                <w:sz w:val="20"/>
                <w:szCs w:val="20"/>
                <w:color w:val="auto"/>
              </w:rPr>
            </w:pPr>
            <w:r>
              <w:rPr>
                <w:rFonts w:ascii="Arial" w:cs="Arial" w:eastAsia="Arial" w:hAnsi="Arial"/>
                <w:sz w:val="16"/>
                <w:szCs w:val="16"/>
                <w:color w:val="auto"/>
              </w:rPr>
              <w:t>(Principal Executive Officer)</w:t>
            </w:r>
          </w:p>
        </w:tc>
        <w:tc>
          <w:tcPr>
            <w:tcW w:w="4980" w:type="dxa"/>
            <w:vAlign w:val="bottom"/>
          </w:tcPr>
          <w:p>
            <w:pPr>
              <w:jc w:val="center"/>
              <w:ind w:right="519"/>
              <w:spacing w:after="0"/>
              <w:rPr>
                <w:sz w:val="20"/>
                <w:szCs w:val="20"/>
                <w:color w:val="auto"/>
              </w:rPr>
            </w:pPr>
            <w:r>
              <w:rPr>
                <w:rFonts w:ascii="Arial" w:cs="Arial" w:eastAsia="Arial" w:hAnsi="Arial"/>
                <w:sz w:val="16"/>
                <w:szCs w:val="16"/>
                <w:color w:val="auto"/>
              </w:rPr>
              <w:t>(Principal Financial Officer)</w:t>
            </w:r>
          </w:p>
        </w:tc>
      </w:tr>
      <w:tr>
        <w:trPr>
          <w:trHeight w:val="486"/>
        </w:trPr>
        <w:tc>
          <w:tcPr>
            <w:tcW w:w="6240" w:type="dxa"/>
            <w:vAlign w:val="bottom"/>
            <w:gridSpan w:val="3"/>
          </w:tcPr>
          <w:p>
            <w:pPr>
              <w:jc w:val="center"/>
              <w:ind w:right="680"/>
              <w:spacing w:after="0"/>
              <w:rPr>
                <w:sz w:val="20"/>
                <w:szCs w:val="20"/>
                <w:color w:val="auto"/>
              </w:rPr>
            </w:pPr>
            <w:r>
              <w:rPr>
                <w:rFonts w:ascii="Arial" w:cs="Arial" w:eastAsia="Arial" w:hAnsi="Arial"/>
                <w:sz w:val="16"/>
                <w:szCs w:val="16"/>
                <w:color w:val="auto"/>
              </w:rPr>
              <w:t>/s/ MATTHEW N. BAUER</w:t>
            </w:r>
          </w:p>
        </w:tc>
        <w:tc>
          <w:tcPr>
            <w:tcW w:w="4980" w:type="dxa"/>
            <w:vAlign w:val="bottom"/>
          </w:tcPr>
          <w:p>
            <w:pPr>
              <w:spacing w:after="0"/>
              <w:rPr>
                <w:sz w:val="24"/>
                <w:szCs w:val="24"/>
                <w:color w:val="auto"/>
              </w:rPr>
            </w:pPr>
          </w:p>
        </w:tc>
      </w:tr>
      <w:tr>
        <w:trPr>
          <w:trHeight w:val="209"/>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Matthew N. Bauer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163"/>
        </w:trPr>
        <w:tc>
          <w:tcPr>
            <w:tcW w:w="6240" w:type="dxa"/>
            <w:vAlign w:val="bottom"/>
            <w:gridSpan w:val="3"/>
          </w:tcPr>
          <w:p>
            <w:pPr>
              <w:jc w:val="center"/>
              <w:ind w:right="700"/>
              <w:spacing w:after="0" w:line="164" w:lineRule="exact"/>
              <w:rPr>
                <w:sz w:val="20"/>
                <w:szCs w:val="20"/>
                <w:color w:val="auto"/>
              </w:rPr>
            </w:pPr>
            <w:r>
              <w:rPr>
                <w:rFonts w:ascii="Arial" w:cs="Arial" w:eastAsia="Arial" w:hAnsi="Arial"/>
                <w:sz w:val="16"/>
                <w:szCs w:val="16"/>
                <w:color w:val="auto"/>
              </w:rPr>
              <w:t>Senior Vice President and Controller</w:t>
            </w:r>
          </w:p>
        </w:tc>
        <w:tc>
          <w:tcPr>
            <w:tcW w:w="4980" w:type="dxa"/>
            <w:vAlign w:val="bottom"/>
          </w:tcPr>
          <w:p>
            <w:pPr>
              <w:spacing w:after="0"/>
              <w:rPr>
                <w:sz w:val="14"/>
                <w:szCs w:val="14"/>
                <w:color w:val="auto"/>
              </w:rPr>
            </w:pPr>
          </w:p>
        </w:tc>
      </w:tr>
      <w:tr>
        <w:trPr>
          <w:trHeight w:val="215"/>
        </w:trPr>
        <w:tc>
          <w:tcPr>
            <w:tcW w:w="6240" w:type="dxa"/>
            <w:vAlign w:val="bottom"/>
            <w:gridSpan w:val="3"/>
          </w:tcPr>
          <w:p>
            <w:pPr>
              <w:jc w:val="center"/>
              <w:ind w:right="700"/>
              <w:spacing w:after="0"/>
              <w:rPr>
                <w:sz w:val="20"/>
                <w:szCs w:val="20"/>
                <w:color w:val="auto"/>
              </w:rPr>
            </w:pPr>
            <w:r>
              <w:rPr>
                <w:rFonts w:ascii="Arial" w:cs="Arial" w:eastAsia="Arial" w:hAnsi="Arial"/>
                <w:sz w:val="16"/>
                <w:szCs w:val="16"/>
                <w:color w:val="auto"/>
              </w:rPr>
              <w:t>(Principal Accounting Officer)</w:t>
            </w:r>
          </w:p>
        </w:tc>
        <w:tc>
          <w:tcPr>
            <w:tcW w:w="4980" w:type="dxa"/>
            <w:vAlign w:val="bottom"/>
          </w:tcPr>
          <w:p>
            <w:pPr>
              <w:spacing w:after="0"/>
              <w:rPr>
                <w:sz w:val="18"/>
                <w:szCs w:val="18"/>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May 11, 2026</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requirements of the Securities Exchange Act of 1934, the Registrant has duly caused this report to be signed on its behalf by the undersigned thereunto duly authorized.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gridSpan w:val="3"/>
          </w:tcPr>
          <w:p>
            <w:pPr>
              <w:ind w:left="2600"/>
              <w:spacing w:after="0"/>
              <w:rPr>
                <w:sz w:val="20"/>
                <w:szCs w:val="20"/>
                <w:color w:val="auto"/>
              </w:rPr>
            </w:pPr>
            <w:r>
              <w:rPr>
                <w:rFonts w:ascii="Arial" w:cs="Arial" w:eastAsia="Arial" w:hAnsi="Arial"/>
                <w:sz w:val="16"/>
                <w:szCs w:val="16"/>
                <w:b w:val="1"/>
                <w:bCs w:val="1"/>
                <w:color w:val="auto"/>
              </w:rPr>
              <w:t>CONSTELLATION ENERGY GENERATION, LLC</w:t>
            </w:r>
          </w:p>
        </w:tc>
        <w:tc>
          <w:tcPr>
            <w:tcW w:w="4840" w:type="dxa"/>
            <w:vAlign w:val="bottom"/>
          </w:tcPr>
          <w:p>
            <w:pPr>
              <w:spacing w:after="0"/>
              <w:rPr>
                <w:sz w:val="19"/>
                <w:szCs w:val="19"/>
                <w:color w:val="auto"/>
              </w:rPr>
            </w:pPr>
          </w:p>
        </w:tc>
      </w:tr>
      <w:tr>
        <w:trPr>
          <w:trHeight w:val="384"/>
        </w:trPr>
        <w:tc>
          <w:tcPr>
            <w:tcW w:w="6400" w:type="dxa"/>
            <w:vAlign w:val="bottom"/>
            <w:gridSpan w:val="3"/>
          </w:tcPr>
          <w:p>
            <w:pPr>
              <w:jc w:val="center"/>
              <w:ind w:right="860"/>
              <w:spacing w:after="0"/>
              <w:rPr>
                <w:sz w:val="20"/>
                <w:szCs w:val="20"/>
                <w:color w:val="auto"/>
              </w:rPr>
            </w:pPr>
            <w:r>
              <w:rPr>
                <w:rFonts w:ascii="Arial" w:cs="Arial" w:eastAsia="Arial" w:hAnsi="Arial"/>
                <w:sz w:val="16"/>
                <w:szCs w:val="16"/>
                <w:color w:val="auto"/>
              </w:rPr>
              <w:t>/s/ JOSEPH DOMINGUEZ</w:t>
            </w:r>
          </w:p>
        </w:tc>
        <w:tc>
          <w:tcPr>
            <w:tcW w:w="4840" w:type="dxa"/>
            <w:vAlign w:val="bottom"/>
          </w:tcPr>
          <w:p>
            <w:pPr>
              <w:jc w:val="center"/>
              <w:ind w:right="579"/>
              <w:spacing w:after="0"/>
              <w:rPr>
                <w:sz w:val="20"/>
                <w:szCs w:val="20"/>
                <w:color w:val="auto"/>
              </w:rPr>
            </w:pPr>
            <w:r>
              <w:rPr>
                <w:rFonts w:ascii="Arial" w:cs="Arial" w:eastAsia="Arial" w:hAnsi="Arial"/>
                <w:sz w:val="16"/>
                <w:szCs w:val="16"/>
                <w:color w:val="auto"/>
                <w:w w:val="99"/>
              </w:rPr>
              <w:t>/s/ SHANE P. SMITH</w:t>
            </w:r>
          </w:p>
        </w:tc>
      </w:tr>
      <w:tr>
        <w:trPr>
          <w:trHeight w:val="209"/>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Joseph Dominguez</w:t>
            </w: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40" w:type="dxa"/>
            <w:vAlign w:val="bottom"/>
            <w:tcBorders>
              <w:top w:val="single" w:sz="8" w:color="auto"/>
            </w:tcBorders>
          </w:tcPr>
          <w:p>
            <w:pPr>
              <w:jc w:val="center"/>
              <w:ind w:right="559"/>
              <w:spacing w:after="0"/>
              <w:rPr>
                <w:sz w:val="20"/>
                <w:szCs w:val="20"/>
                <w:color w:val="auto"/>
              </w:rPr>
            </w:pPr>
            <w:r>
              <w:rPr>
                <w:rFonts w:ascii="Arial" w:cs="Arial" w:eastAsia="Arial" w:hAnsi="Arial"/>
                <w:sz w:val="16"/>
                <w:szCs w:val="16"/>
                <w:color w:val="auto"/>
              </w:rPr>
              <w:t>Shane P. Smith</w:t>
            </w:r>
          </w:p>
        </w:tc>
      </w:tr>
      <w:tr>
        <w:trPr>
          <w:trHeight w:val="163"/>
        </w:trPr>
        <w:tc>
          <w:tcPr>
            <w:tcW w:w="6400" w:type="dxa"/>
            <w:vAlign w:val="bottom"/>
            <w:gridSpan w:val="3"/>
          </w:tcPr>
          <w:p>
            <w:pPr>
              <w:jc w:val="center"/>
              <w:ind w:right="900"/>
              <w:spacing w:after="0" w:line="164" w:lineRule="exact"/>
              <w:rPr>
                <w:sz w:val="20"/>
                <w:szCs w:val="20"/>
                <w:color w:val="auto"/>
              </w:rPr>
            </w:pPr>
            <w:r>
              <w:rPr>
                <w:rFonts w:ascii="Arial" w:cs="Arial" w:eastAsia="Arial" w:hAnsi="Arial"/>
                <w:sz w:val="16"/>
                <w:szCs w:val="16"/>
                <w:color w:val="auto"/>
              </w:rPr>
              <w:t>President and Chief Executive Officer</w:t>
            </w:r>
          </w:p>
        </w:tc>
        <w:tc>
          <w:tcPr>
            <w:tcW w:w="4840" w:type="dxa"/>
            <w:vAlign w:val="bottom"/>
          </w:tcPr>
          <w:p>
            <w:pPr>
              <w:jc w:val="center"/>
              <w:ind w:right="619"/>
              <w:spacing w:after="0" w:line="164" w:lineRule="exact"/>
              <w:rPr>
                <w:sz w:val="20"/>
                <w:szCs w:val="20"/>
                <w:color w:val="auto"/>
              </w:rPr>
            </w:pPr>
            <w:r>
              <w:rPr>
                <w:rFonts w:ascii="Arial" w:cs="Arial" w:eastAsia="Arial" w:hAnsi="Arial"/>
                <w:sz w:val="16"/>
                <w:szCs w:val="16"/>
                <w:color w:val="auto"/>
              </w:rPr>
              <w:t>Executive Vice President and Chief Financial Officer</w:t>
            </w:r>
          </w:p>
        </w:tc>
      </w:tr>
      <w:tr>
        <w:trPr>
          <w:trHeight w:val="215"/>
        </w:trPr>
        <w:tc>
          <w:tcPr>
            <w:tcW w:w="6400" w:type="dxa"/>
            <w:vAlign w:val="bottom"/>
            <w:gridSpan w:val="3"/>
          </w:tcPr>
          <w:p>
            <w:pPr>
              <w:jc w:val="center"/>
              <w:ind w:right="860"/>
              <w:spacing w:after="0"/>
              <w:rPr>
                <w:sz w:val="20"/>
                <w:szCs w:val="20"/>
                <w:color w:val="auto"/>
              </w:rPr>
            </w:pPr>
            <w:r>
              <w:rPr>
                <w:rFonts w:ascii="Arial" w:cs="Arial" w:eastAsia="Arial" w:hAnsi="Arial"/>
                <w:sz w:val="16"/>
                <w:szCs w:val="16"/>
                <w:color w:val="auto"/>
              </w:rPr>
              <w:t>(Principal Executive Officer)</w:t>
            </w:r>
          </w:p>
        </w:tc>
        <w:tc>
          <w:tcPr>
            <w:tcW w:w="4840" w:type="dxa"/>
            <w:vAlign w:val="bottom"/>
          </w:tcPr>
          <w:p>
            <w:pPr>
              <w:jc w:val="center"/>
              <w:ind w:right="559"/>
              <w:spacing w:after="0"/>
              <w:rPr>
                <w:sz w:val="20"/>
                <w:szCs w:val="20"/>
                <w:color w:val="auto"/>
              </w:rPr>
            </w:pPr>
            <w:r>
              <w:rPr>
                <w:rFonts w:ascii="Arial" w:cs="Arial" w:eastAsia="Arial" w:hAnsi="Arial"/>
                <w:sz w:val="16"/>
                <w:szCs w:val="16"/>
                <w:color w:val="auto"/>
              </w:rPr>
              <w:t>(Principal Financial Officer)</w:t>
            </w:r>
          </w:p>
        </w:tc>
      </w:tr>
      <w:tr>
        <w:trPr>
          <w:trHeight w:val="486"/>
        </w:trPr>
        <w:tc>
          <w:tcPr>
            <w:tcW w:w="6400" w:type="dxa"/>
            <w:vAlign w:val="bottom"/>
            <w:gridSpan w:val="3"/>
          </w:tcPr>
          <w:p>
            <w:pPr>
              <w:jc w:val="center"/>
              <w:ind w:right="860"/>
              <w:spacing w:after="0"/>
              <w:rPr>
                <w:sz w:val="20"/>
                <w:szCs w:val="20"/>
                <w:color w:val="auto"/>
              </w:rPr>
            </w:pPr>
            <w:r>
              <w:rPr>
                <w:rFonts w:ascii="Arial" w:cs="Arial" w:eastAsia="Arial" w:hAnsi="Arial"/>
                <w:sz w:val="16"/>
                <w:szCs w:val="16"/>
                <w:color w:val="auto"/>
                <w:w w:val="99"/>
              </w:rPr>
              <w:t>/s/ MATTHEW N. BAUER</w:t>
            </w:r>
          </w:p>
        </w:tc>
        <w:tc>
          <w:tcPr>
            <w:tcW w:w="4840" w:type="dxa"/>
            <w:vAlign w:val="bottom"/>
          </w:tcPr>
          <w:p>
            <w:pPr>
              <w:spacing w:after="0"/>
              <w:rPr>
                <w:sz w:val="24"/>
                <w:szCs w:val="24"/>
                <w:color w:val="auto"/>
              </w:rPr>
            </w:pPr>
          </w:p>
        </w:tc>
      </w:tr>
      <w:tr>
        <w:trPr>
          <w:trHeight w:val="209"/>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Matthew N. Bauer</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163"/>
        </w:trPr>
        <w:tc>
          <w:tcPr>
            <w:tcW w:w="6400" w:type="dxa"/>
            <w:vAlign w:val="bottom"/>
            <w:gridSpan w:val="3"/>
          </w:tcPr>
          <w:p>
            <w:pPr>
              <w:jc w:val="center"/>
              <w:ind w:right="860"/>
              <w:spacing w:after="0" w:line="164" w:lineRule="exact"/>
              <w:rPr>
                <w:sz w:val="20"/>
                <w:szCs w:val="20"/>
                <w:color w:val="auto"/>
              </w:rPr>
            </w:pPr>
            <w:r>
              <w:rPr>
                <w:rFonts w:ascii="Arial" w:cs="Arial" w:eastAsia="Arial" w:hAnsi="Arial"/>
                <w:sz w:val="16"/>
                <w:szCs w:val="16"/>
                <w:color w:val="auto"/>
              </w:rPr>
              <w:t>Senior Vice President and Controller</w:t>
            </w:r>
          </w:p>
        </w:tc>
        <w:tc>
          <w:tcPr>
            <w:tcW w:w="4840" w:type="dxa"/>
            <w:vAlign w:val="bottom"/>
          </w:tcPr>
          <w:p>
            <w:pPr>
              <w:spacing w:after="0"/>
              <w:rPr>
                <w:sz w:val="14"/>
                <w:szCs w:val="14"/>
                <w:color w:val="auto"/>
              </w:rPr>
            </w:pPr>
          </w:p>
        </w:tc>
      </w:tr>
      <w:tr>
        <w:trPr>
          <w:trHeight w:val="215"/>
        </w:trPr>
        <w:tc>
          <w:tcPr>
            <w:tcW w:w="6400" w:type="dxa"/>
            <w:vAlign w:val="bottom"/>
            <w:gridSpan w:val="3"/>
          </w:tcPr>
          <w:p>
            <w:pPr>
              <w:jc w:val="center"/>
              <w:ind w:right="860"/>
              <w:spacing w:after="0"/>
              <w:rPr>
                <w:sz w:val="20"/>
                <w:szCs w:val="20"/>
                <w:color w:val="auto"/>
              </w:rPr>
            </w:pPr>
            <w:r>
              <w:rPr>
                <w:rFonts w:ascii="Arial" w:cs="Arial" w:eastAsia="Arial" w:hAnsi="Arial"/>
                <w:sz w:val="16"/>
                <w:szCs w:val="16"/>
                <w:color w:val="auto"/>
              </w:rPr>
              <w:t>(Principal Accounting Officer)</w:t>
            </w:r>
          </w:p>
        </w:tc>
        <w:tc>
          <w:tcPr>
            <w:tcW w:w="4840" w:type="dxa"/>
            <w:vAlign w:val="bottom"/>
          </w:tcPr>
          <w:p>
            <w:pPr>
              <w:spacing w:after="0"/>
              <w:rPr>
                <w:sz w:val="18"/>
                <w:szCs w:val="18"/>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May 11, 2026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40"/>
          </w:cols>
          <w:pgMar w:left="320" w:top="125" w:right="339" w:bottom="1440" w:gutter="0" w:footer="0" w:header="0"/>
        </w:sectPr>
      </w:pPr>
    </w:p>
    <w:bookmarkStart w:id="83" w:name="page84"/>
    <w:bookmarkEnd w:id="83"/>
    <w:p>
      <w:pPr>
        <w:spacing w:after="0" w:line="1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AND 15d-14(a) OF THE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ACT OF 1934</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 Joseph Dominguez, certify that:</w:t>
      </w:r>
    </w:p>
    <w:p>
      <w:pPr>
        <w:spacing w:after="0" w:line="100"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Constellation Energy Corporation;</w:t>
      </w:r>
    </w:p>
    <w:p>
      <w:pPr>
        <w:spacing w:after="0" w:line="86" w:lineRule="exact"/>
        <w:rPr>
          <w:rFonts w:ascii="Arial" w:cs="Arial" w:eastAsia="Arial" w:hAnsi="Arial"/>
          <w:sz w:val="16"/>
          <w:szCs w:val="16"/>
          <w:color w:val="auto"/>
        </w:rPr>
      </w:pPr>
    </w:p>
    <w:p>
      <w:pPr>
        <w:jc w:val="both"/>
        <w:ind w:left="340" w:hanging="332"/>
        <w:spacing w:after="0" w:line="345"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6"/>
          <w:szCs w:val="16"/>
          <w:color w:val="auto"/>
        </w:rPr>
      </w:pPr>
    </w:p>
    <w:p>
      <w:pPr>
        <w:ind w:left="340" w:hanging="332"/>
        <w:spacing w:after="0" w:line="334"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310"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 w:lineRule="exact"/>
        <w:rPr>
          <w:rFonts w:ascii="Arial" w:cs="Arial" w:eastAsia="Arial" w:hAnsi="Arial"/>
          <w:sz w:val="16"/>
          <w:szCs w:val="16"/>
          <w:color w:val="auto"/>
        </w:rPr>
      </w:pPr>
    </w:p>
    <w:p>
      <w:pPr>
        <w:jc w:val="both"/>
        <w:ind w:left="660" w:hanging="328"/>
        <w:spacing w:after="0" w:line="310" w:lineRule="auto"/>
        <w:tabs>
          <w:tab w:leader="none" w:pos="655"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6"/>
          <w:szCs w:val="16"/>
          <w:color w:val="auto"/>
        </w:rPr>
      </w:pPr>
    </w:p>
    <w:p>
      <w:pPr>
        <w:jc w:val="both"/>
        <w:ind w:left="660" w:hanging="328"/>
        <w:spacing w:after="0" w:line="310" w:lineRule="auto"/>
        <w:tabs>
          <w:tab w:leader="none" w:pos="655"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 w:lineRule="exact"/>
        <w:rPr>
          <w:rFonts w:ascii="Arial" w:cs="Arial" w:eastAsia="Arial" w:hAnsi="Arial"/>
          <w:sz w:val="16"/>
          <w:szCs w:val="16"/>
          <w:color w:val="auto"/>
        </w:rPr>
      </w:pPr>
    </w:p>
    <w:p>
      <w:pPr>
        <w:ind w:left="660" w:hanging="328"/>
        <w:spacing w:after="0" w:line="321"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6"/>
          <w:szCs w:val="16"/>
          <w:color w:val="auto"/>
        </w:rPr>
      </w:pPr>
    </w:p>
    <w:p>
      <w:pPr>
        <w:jc w:val="both"/>
        <w:ind w:left="660" w:hanging="328"/>
        <w:spacing w:after="0" w:line="310" w:lineRule="auto"/>
        <w:tabs>
          <w:tab w:leader="none" w:pos="655"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 w:lineRule="exact"/>
        <w:rPr>
          <w:rFonts w:ascii="Arial" w:cs="Arial" w:eastAsia="Arial" w:hAnsi="Arial"/>
          <w:sz w:val="16"/>
          <w:szCs w:val="16"/>
          <w:color w:val="auto"/>
        </w:rPr>
      </w:pPr>
    </w:p>
    <w:p>
      <w:pPr>
        <w:ind w:left="340" w:hanging="332"/>
        <w:spacing w:after="0" w:line="325"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660" w:right="20" w:hanging="328"/>
        <w:spacing w:after="0" w:line="334" w:lineRule="auto"/>
        <w:tabs>
          <w:tab w:leader="none" w:pos="655"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328"/>
        <w:spacing w:after="0" w:line="321" w:lineRule="auto"/>
        <w:tabs>
          <w:tab w:leader="none" w:pos="655"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20955</wp:posOffset>
            </wp:positionV>
            <wp:extent cx="39604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(Principal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May 11, 2026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AND 15d-14(a) OF THE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ACT OF 1934</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 Shane P. Smith, certify that:</w:t>
      </w:r>
    </w:p>
    <w:p>
      <w:pPr>
        <w:spacing w:after="0" w:line="100"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Constellation Energy Corporation;</w:t>
      </w:r>
    </w:p>
    <w:p>
      <w:pPr>
        <w:spacing w:after="0" w:line="86" w:lineRule="exact"/>
        <w:rPr>
          <w:rFonts w:ascii="Arial" w:cs="Arial" w:eastAsia="Arial" w:hAnsi="Arial"/>
          <w:sz w:val="16"/>
          <w:szCs w:val="16"/>
          <w:color w:val="auto"/>
        </w:rPr>
      </w:pPr>
    </w:p>
    <w:p>
      <w:pPr>
        <w:jc w:val="both"/>
        <w:ind w:left="340" w:hanging="332"/>
        <w:spacing w:after="0" w:line="345"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6"/>
          <w:szCs w:val="16"/>
          <w:color w:val="auto"/>
        </w:rPr>
      </w:pPr>
    </w:p>
    <w:p>
      <w:pPr>
        <w:ind w:left="340" w:hanging="332"/>
        <w:spacing w:after="0" w:line="334"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310"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 w:lineRule="exact"/>
        <w:rPr>
          <w:rFonts w:ascii="Arial" w:cs="Arial" w:eastAsia="Arial" w:hAnsi="Arial"/>
          <w:sz w:val="16"/>
          <w:szCs w:val="16"/>
          <w:color w:val="auto"/>
        </w:rPr>
      </w:pPr>
    </w:p>
    <w:p>
      <w:pPr>
        <w:jc w:val="both"/>
        <w:ind w:left="660" w:hanging="328"/>
        <w:spacing w:after="0" w:line="310" w:lineRule="auto"/>
        <w:tabs>
          <w:tab w:leader="none" w:pos="655"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6"/>
          <w:szCs w:val="16"/>
          <w:color w:val="auto"/>
        </w:rPr>
      </w:pPr>
    </w:p>
    <w:p>
      <w:pPr>
        <w:jc w:val="both"/>
        <w:ind w:left="660" w:hanging="328"/>
        <w:spacing w:after="0" w:line="310" w:lineRule="auto"/>
        <w:tabs>
          <w:tab w:leader="none" w:pos="655"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 w:lineRule="exact"/>
        <w:rPr>
          <w:rFonts w:ascii="Arial" w:cs="Arial" w:eastAsia="Arial" w:hAnsi="Arial"/>
          <w:sz w:val="16"/>
          <w:szCs w:val="16"/>
          <w:color w:val="auto"/>
        </w:rPr>
      </w:pPr>
    </w:p>
    <w:p>
      <w:pPr>
        <w:ind w:left="660" w:hanging="328"/>
        <w:spacing w:after="0" w:line="321" w:lineRule="auto"/>
        <w:tabs>
          <w:tab w:leader="none" w:pos="6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6"/>
          <w:szCs w:val="16"/>
          <w:color w:val="auto"/>
        </w:rPr>
      </w:pPr>
    </w:p>
    <w:p>
      <w:pPr>
        <w:jc w:val="both"/>
        <w:ind w:left="660" w:hanging="328"/>
        <w:spacing w:after="0" w:line="310" w:lineRule="auto"/>
        <w:tabs>
          <w:tab w:leader="none" w:pos="655"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 w:lineRule="exact"/>
        <w:rPr>
          <w:rFonts w:ascii="Arial" w:cs="Arial" w:eastAsia="Arial" w:hAnsi="Arial"/>
          <w:sz w:val="16"/>
          <w:szCs w:val="16"/>
          <w:color w:val="auto"/>
        </w:rPr>
      </w:pPr>
    </w:p>
    <w:p>
      <w:pPr>
        <w:ind w:left="340" w:hanging="332"/>
        <w:spacing w:after="0" w:line="325"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660" w:right="20" w:hanging="328"/>
        <w:spacing w:after="0" w:line="334" w:lineRule="auto"/>
        <w:tabs>
          <w:tab w:leader="none" w:pos="655"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328"/>
        <w:spacing w:after="0" w:line="321" w:lineRule="auto"/>
        <w:tabs>
          <w:tab w:leader="none" w:pos="655"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SHANE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20955</wp:posOffset>
            </wp:positionV>
            <wp:extent cx="39604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(Principal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May 11, 2026</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31.3</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AND 15d-14(a) OF THE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ACT OF 1934</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 Joseph Dominguez, certify that:</w:t>
      </w:r>
    </w:p>
    <w:p>
      <w:pPr>
        <w:spacing w:after="0" w:line="100"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Constellation Energy Generation, LLC;</w:t>
      </w:r>
    </w:p>
    <w:p>
      <w:pPr>
        <w:spacing w:after="0" w:line="86" w:lineRule="exact"/>
        <w:rPr>
          <w:rFonts w:ascii="Arial" w:cs="Arial" w:eastAsia="Arial" w:hAnsi="Arial"/>
          <w:sz w:val="16"/>
          <w:szCs w:val="16"/>
          <w:color w:val="auto"/>
        </w:rPr>
      </w:pPr>
    </w:p>
    <w:p>
      <w:pPr>
        <w:jc w:val="both"/>
        <w:ind w:left="340" w:hanging="332"/>
        <w:spacing w:after="0" w:line="345"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6"/>
          <w:szCs w:val="16"/>
          <w:color w:val="auto"/>
        </w:rPr>
      </w:pPr>
    </w:p>
    <w:p>
      <w:pPr>
        <w:ind w:left="340" w:hanging="332"/>
        <w:spacing w:after="0" w:line="334"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310"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 w:lineRule="exact"/>
        <w:rPr>
          <w:rFonts w:ascii="Arial" w:cs="Arial" w:eastAsia="Arial" w:hAnsi="Arial"/>
          <w:sz w:val="16"/>
          <w:szCs w:val="16"/>
          <w:color w:val="auto"/>
        </w:rPr>
      </w:pPr>
    </w:p>
    <w:p>
      <w:pPr>
        <w:jc w:val="both"/>
        <w:ind w:left="660" w:hanging="328"/>
        <w:spacing w:after="0" w:line="310" w:lineRule="auto"/>
        <w:tabs>
          <w:tab w:leader="none" w:pos="655"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6"/>
          <w:szCs w:val="16"/>
          <w:color w:val="auto"/>
        </w:rPr>
      </w:pPr>
    </w:p>
    <w:p>
      <w:pPr>
        <w:jc w:val="both"/>
        <w:ind w:left="660" w:hanging="328"/>
        <w:spacing w:after="0" w:line="310" w:lineRule="auto"/>
        <w:tabs>
          <w:tab w:leader="none" w:pos="655"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 w:lineRule="exact"/>
        <w:rPr>
          <w:rFonts w:ascii="Arial" w:cs="Arial" w:eastAsia="Arial" w:hAnsi="Arial"/>
          <w:sz w:val="16"/>
          <w:szCs w:val="16"/>
          <w:color w:val="auto"/>
        </w:rPr>
      </w:pPr>
    </w:p>
    <w:p>
      <w:pPr>
        <w:ind w:left="660" w:hanging="328"/>
        <w:spacing w:after="0" w:line="321" w:lineRule="auto"/>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6"/>
          <w:szCs w:val="16"/>
          <w:color w:val="auto"/>
        </w:rPr>
      </w:pPr>
    </w:p>
    <w:p>
      <w:pPr>
        <w:jc w:val="both"/>
        <w:ind w:left="660" w:hanging="328"/>
        <w:spacing w:after="0" w:line="310" w:lineRule="auto"/>
        <w:tabs>
          <w:tab w:leader="none" w:pos="655"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 w:lineRule="exact"/>
        <w:rPr>
          <w:rFonts w:ascii="Arial" w:cs="Arial" w:eastAsia="Arial" w:hAnsi="Arial"/>
          <w:sz w:val="16"/>
          <w:szCs w:val="16"/>
          <w:color w:val="auto"/>
        </w:rPr>
      </w:pPr>
    </w:p>
    <w:p>
      <w:pPr>
        <w:ind w:left="340" w:hanging="332"/>
        <w:spacing w:after="0" w:line="325"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660" w:right="20" w:hanging="328"/>
        <w:spacing w:after="0" w:line="334" w:lineRule="auto"/>
        <w:tabs>
          <w:tab w:leader="none" w:pos="655"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328"/>
        <w:spacing w:after="0" w:line="321" w:lineRule="auto"/>
        <w:tabs>
          <w:tab w:leader="none" w:pos="655"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20955</wp:posOffset>
            </wp:positionV>
            <wp:extent cx="39604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(Principal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May 11, 2026</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AND 15d-14(a) OF THE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ACT OF 1934</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 Shane P. Smith, certify that:</w:t>
      </w:r>
    </w:p>
    <w:p>
      <w:pPr>
        <w:spacing w:after="0" w:line="100"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Constellation Energy Generation, LLC;</w:t>
      </w:r>
    </w:p>
    <w:p>
      <w:pPr>
        <w:spacing w:after="0" w:line="86" w:lineRule="exact"/>
        <w:rPr>
          <w:rFonts w:ascii="Arial" w:cs="Arial" w:eastAsia="Arial" w:hAnsi="Arial"/>
          <w:sz w:val="16"/>
          <w:szCs w:val="16"/>
          <w:color w:val="auto"/>
        </w:rPr>
      </w:pPr>
    </w:p>
    <w:p>
      <w:pPr>
        <w:jc w:val="both"/>
        <w:ind w:left="340" w:hanging="332"/>
        <w:spacing w:after="0" w:line="345"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6"/>
          <w:szCs w:val="16"/>
          <w:color w:val="auto"/>
        </w:rPr>
      </w:pPr>
    </w:p>
    <w:p>
      <w:pPr>
        <w:ind w:left="340" w:hanging="332"/>
        <w:spacing w:after="0" w:line="334"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310"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 w:lineRule="exact"/>
        <w:rPr>
          <w:rFonts w:ascii="Arial" w:cs="Arial" w:eastAsia="Arial" w:hAnsi="Arial"/>
          <w:sz w:val="16"/>
          <w:szCs w:val="16"/>
          <w:color w:val="auto"/>
        </w:rPr>
      </w:pPr>
    </w:p>
    <w:p>
      <w:pPr>
        <w:jc w:val="both"/>
        <w:ind w:left="660" w:hanging="328"/>
        <w:spacing w:after="0" w:line="310" w:lineRule="auto"/>
        <w:tabs>
          <w:tab w:leader="none" w:pos="655"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6"/>
          <w:szCs w:val="16"/>
          <w:color w:val="auto"/>
        </w:rPr>
      </w:pPr>
    </w:p>
    <w:p>
      <w:pPr>
        <w:jc w:val="both"/>
        <w:ind w:left="660" w:hanging="328"/>
        <w:spacing w:after="0" w:line="310" w:lineRule="auto"/>
        <w:tabs>
          <w:tab w:leader="none" w:pos="655"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 w:lineRule="exact"/>
        <w:rPr>
          <w:rFonts w:ascii="Arial" w:cs="Arial" w:eastAsia="Arial" w:hAnsi="Arial"/>
          <w:sz w:val="16"/>
          <w:szCs w:val="16"/>
          <w:color w:val="auto"/>
        </w:rPr>
      </w:pPr>
    </w:p>
    <w:p>
      <w:pPr>
        <w:ind w:left="660" w:hanging="328"/>
        <w:spacing w:after="0" w:line="321" w:lineRule="auto"/>
        <w:tabs>
          <w:tab w:leader="none" w:pos="6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6"/>
          <w:szCs w:val="16"/>
          <w:color w:val="auto"/>
        </w:rPr>
      </w:pPr>
    </w:p>
    <w:p>
      <w:pPr>
        <w:jc w:val="both"/>
        <w:ind w:left="660" w:hanging="328"/>
        <w:spacing w:after="0" w:line="310" w:lineRule="auto"/>
        <w:tabs>
          <w:tab w:leader="none" w:pos="655"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 w:lineRule="exact"/>
        <w:rPr>
          <w:rFonts w:ascii="Arial" w:cs="Arial" w:eastAsia="Arial" w:hAnsi="Arial"/>
          <w:sz w:val="16"/>
          <w:szCs w:val="16"/>
          <w:color w:val="auto"/>
        </w:rPr>
      </w:pPr>
    </w:p>
    <w:p>
      <w:pPr>
        <w:ind w:left="340" w:hanging="332"/>
        <w:spacing w:after="0" w:line="325"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660" w:right="20" w:hanging="328"/>
        <w:spacing w:after="0" w:line="334" w:lineRule="auto"/>
        <w:tabs>
          <w:tab w:leader="none" w:pos="655"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328"/>
        <w:spacing w:after="0" w:line="321" w:lineRule="auto"/>
        <w:tabs>
          <w:tab w:leader="none" w:pos="655"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SHANE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20955</wp:posOffset>
            </wp:positionV>
            <wp:extent cx="39604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(Principal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May 11, 2026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Pursuant to Section 1350 of Chapter 63 of Title 18 United States Code</w:t>
      </w:r>
    </w:p>
    <w:p>
      <w:pPr>
        <w:spacing w:after="0" w:line="262"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undersigned officer hereby certifies, as to the quarterly report on Form 10-Q of Constellation Energy Corporation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Constellation Energy Corporation.</w:t>
      </w:r>
    </w:p>
    <w:p>
      <w:pPr>
        <w:spacing w:after="0" w:line="200" w:lineRule="exact"/>
        <w:rPr>
          <w:sz w:val="20"/>
          <w:szCs w:val="20"/>
          <w:color w:val="auto"/>
        </w:rPr>
      </w:pPr>
    </w:p>
    <w:p>
      <w:pPr>
        <w:spacing w:after="0" w:line="250"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20955</wp:posOffset>
            </wp:positionV>
            <wp:extent cx="39604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Joseph Dominguez</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President and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May 11, 2026</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Pursuant to Section 1350 of Chapter 63 of Title 18 United States Code</w:t>
      </w:r>
    </w:p>
    <w:p>
      <w:pPr>
        <w:spacing w:after="0" w:line="262"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undersigned officer hereby certifies, as to the quarterly report on Form 10-Q of Constellation Energy Corporation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Constellation Energy Corporation.</w:t>
      </w:r>
    </w:p>
    <w:p>
      <w:pPr>
        <w:spacing w:after="0" w:line="200" w:lineRule="exact"/>
        <w:rPr>
          <w:sz w:val="20"/>
          <w:szCs w:val="20"/>
          <w:color w:val="auto"/>
        </w:rPr>
      </w:pPr>
    </w:p>
    <w:p>
      <w:pPr>
        <w:spacing w:after="0" w:line="250"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SHANE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20955</wp:posOffset>
            </wp:positionV>
            <wp:extent cx="39604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Shane P. Smith</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Executive Vice President and 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May 11, 2026</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32.3</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Pursuant to Section 1350 of Chapter 63 of Title 18 United States Code</w:t>
      </w:r>
    </w:p>
    <w:p>
      <w:pPr>
        <w:spacing w:after="0" w:line="262"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undersigned officer hereby certifies, as to the quarterly report on Form 10-Q of Constellation Energy Generation, LLC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Constellation Energy Generation, LLC.</w:t>
      </w:r>
    </w:p>
    <w:p>
      <w:pPr>
        <w:spacing w:after="0" w:line="200" w:lineRule="exact"/>
        <w:rPr>
          <w:sz w:val="20"/>
          <w:szCs w:val="20"/>
          <w:color w:val="auto"/>
        </w:rPr>
      </w:pPr>
    </w:p>
    <w:p>
      <w:pPr>
        <w:spacing w:after="0" w:line="250"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20955</wp:posOffset>
            </wp:positionV>
            <wp:extent cx="39604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Joseph Dominguez</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President and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May 11, 2026</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Pursuant to Section 1350 of Chapter 63 of Title 18 United States Code</w:t>
      </w:r>
    </w:p>
    <w:p>
      <w:pPr>
        <w:spacing w:after="0" w:line="262"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undersigned officer hereby certifies, as to the quarterly report on Form 10-Q of Constellation Energy Generation, LLC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Constellation Energy Generation, LLC.</w:t>
      </w:r>
    </w:p>
    <w:p>
      <w:pPr>
        <w:spacing w:after="0" w:line="200" w:lineRule="exact"/>
        <w:rPr>
          <w:sz w:val="20"/>
          <w:szCs w:val="20"/>
          <w:color w:val="auto"/>
        </w:rPr>
      </w:pPr>
    </w:p>
    <w:p>
      <w:pPr>
        <w:spacing w:after="0" w:line="250"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SHANE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20955</wp:posOffset>
            </wp:positionV>
            <wp:extent cx="39604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Shane P. Smith</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Executive Vice President and 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May 11,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lowerLetter"/>
      <w:start w:val="1"/>
    </w:lvl>
  </w:abstractNum>
  <w:abstractNum w:abstractNumId="1">
    <w:nsid w:val="1E7FF521"/>
    <w:multiLevelType w:val="hybridMultilevel"/>
    <w:lvl w:ilvl="0">
      <w:lvlJc w:val="left"/>
      <w:lvlText w:val="(%1)"/>
      <w:numFmt w:val="lowerLetter"/>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2"/>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lowerLetter"/>
      <w:start w:val="1"/>
    </w:lvl>
  </w:abstractNum>
  <w:abstractNum w:abstractNumId="6">
    <w:nsid w:val="4516DDE9"/>
    <w:multiLevelType w:val="hybridMultilevel"/>
    <w:lvl w:ilvl="0">
      <w:lvlJc w:val="left"/>
      <w:lvlText w:val="(%1)"/>
      <w:numFmt w:val="lowerLetter"/>
      <w:start w:val="2"/>
    </w:lvl>
  </w:abstractNum>
  <w:abstractNum w:abstractNumId="7">
    <w:nsid w:val="3006C83E"/>
    <w:multiLevelType w:val="hybridMultilevel"/>
    <w:lvl w:ilvl="0">
      <w:lvlJc w:val="left"/>
      <w:lvlText w:val="(%1)"/>
      <w:numFmt w:val="lowerLetter"/>
      <w:start w:val="3"/>
    </w:lvl>
  </w:abstractNum>
  <w:abstractNum w:abstractNumId="8">
    <w:nsid w:val="614FD4A1"/>
    <w:multiLevelType w:val="hybridMultilevel"/>
    <w:lvl w:ilvl="0">
      <w:lvlJc w:val="left"/>
      <w:lvlText w:val="(%1)"/>
      <w:numFmt w:val="lowerLetter"/>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emdash "/>
      <w:numFmt w:val="bullet"/>
      <w:start w:val="1"/>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lowerLetter"/>
      <w:start w:val="1"/>
    </w:lvl>
  </w:abstractNum>
  <w:abstractNum w:abstractNumId="15">
    <w:nsid w:val="7724C67E"/>
    <w:multiLevelType w:val="hybridMultilevel"/>
    <w:lvl w:ilvl="0">
      <w:lvlJc w:val="left"/>
      <w:lvlText w:val="%1."/>
      <w:numFmt w:val="decimal"/>
      <w:start w:val="10"/>
    </w:lvl>
  </w:abstractNum>
  <w:abstractNum w:abstractNumId="16">
    <w:nsid w:val="5C482A97"/>
    <w:multiLevelType w:val="hybridMultilevel"/>
    <w:lvl w:ilvl="0">
      <w:lvlJc w:val="left"/>
      <w:lvlText w:val="(%1)"/>
      <w:numFmt w:val="lowerLetter"/>
      <w:start w:val="1"/>
    </w:lvl>
  </w:abstractNum>
  <w:abstractNum w:abstractNumId="17">
    <w:nsid w:val="2463B9EA"/>
    <w:multiLevelType w:val="hybridMultilevel"/>
    <w:lvl w:ilvl="0">
      <w:lvlJc w:val="left"/>
      <w:lvlText w:val="(%1)"/>
      <w:numFmt w:val="lowerLetter"/>
      <w:start w:val="1"/>
    </w:lvl>
  </w:abstractNum>
  <w:abstractNum w:abstractNumId="18">
    <w:nsid w:val="5E884ADC"/>
    <w:multiLevelType w:val="hybridMultilevel"/>
    <w:lvl w:ilvl="0">
      <w:lvlJc w:val="left"/>
      <w:lvlText w:val="(%1)"/>
      <w:numFmt w:val="lowerLetter"/>
      <w:start w:val="1"/>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decimal"/>
      <w:start w:val="13"/>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lowerLetter"/>
      <w:start w:val="1"/>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decimal"/>
      <w:start w:val="15"/>
    </w:lvl>
  </w:abstractNum>
  <w:abstractNum w:abstractNumId="30">
    <w:nsid w:val="57E4CCAF"/>
    <w:multiLevelType w:val="hybridMultilevel"/>
    <w:lvl w:ilvl="0">
      <w:lvlJc w:val="left"/>
      <w:lvlText w:val="(%1)"/>
      <w:numFmt w:val="lowerLetter"/>
      <w:start w:val="1"/>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1"/>
    </w:lvl>
  </w:abstractNum>
  <w:abstractNum w:abstractNumId="33">
    <w:nsid w:val="542289EC"/>
    <w:multiLevelType w:val="hybridMultilevel"/>
    <w:lvl w:ilvl="0">
      <w:lvlJc w:val="left"/>
      <w:lvlText w:val="(%1)"/>
      <w:numFmt w:val="lowerLetter"/>
      <w:start w:val="1"/>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lowerLetter"/>
      <w:start w:val="1"/>
    </w:lvl>
  </w:abstractNum>
  <w:abstractNum w:abstractNumId="36">
    <w:nsid w:val="7644A45C"/>
    <w:multiLevelType w:val="hybridMultilevel"/>
    <w:lvl w:ilvl="0">
      <w:lvlJc w:val="left"/>
      <w:lvlText w:val="(%1)"/>
      <w:numFmt w:val="lowerLetter"/>
      <w:start w:val="1"/>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lowerLetter"/>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5"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20" Type="http://schemas.openxmlformats.org/officeDocument/2006/relationships/hyperlink" Target="https://www.sec.gov/Archives/edgar/data/1868275/000186827525000011/ceg-202501138kexh21.htm" TargetMode="External"/><Relationship Id="rId121" Type="http://schemas.openxmlformats.org/officeDocument/2006/relationships/hyperlink" Target="https://www.sec.gov/Archives/edgar/data/1868275/000110465926001780/tm2532248d1_ex4-1.htm" TargetMode="External"/><Relationship Id="rId122" Type="http://schemas.openxmlformats.org/officeDocument/2006/relationships/hyperlink" Target="https://www.sec.gov/Archives/edgar/data/1868275/000110465926001780/tm2532248d1_ex4-2.htm" TargetMode="External"/><Relationship Id="rId123" Type="http://schemas.openxmlformats.org/officeDocument/2006/relationships/hyperlink" Target="https://www.sec.gov/Archives/edgar/data/1868275/000110465926001780/tm2532248d1_ex4-3.htm" TargetMode="External"/><Relationship Id="rId124" Type="http://schemas.openxmlformats.org/officeDocument/2006/relationships/hyperlink" Target="https://www.sec.gov/Archives/edgar/data/1868275/000110465926001780/tm2532248d1_ex4-4.htm" TargetMode="External"/><Relationship Id="rId125" Type="http://schemas.openxmlformats.org/officeDocument/2006/relationships/hyperlink" Target="https://www.sec.gov/Archives/edgar/data/1868275/000110465926001780/tm2532248d1_ex4-5.htm" TargetMode="External"/><Relationship Id="rId126" Type="http://schemas.openxmlformats.org/officeDocument/2006/relationships/hyperlink" Target="https://www.sec.gov/Archives/edgar/data/1868275/000110465926001780/tm2532248d1_ex4-6.htm" TargetMode="External"/><Relationship Id="rId127" Type="http://schemas.openxmlformats.org/officeDocument/2006/relationships/hyperlink" Target="https://www.sec.gov/Archives/edgar/data/1868275/000110465926001780/tm2532248d1_ex4-7.htm" TargetMode="External"/><Relationship Id="rId128" Type="http://schemas.openxmlformats.org/officeDocument/2006/relationships/hyperlink" Target="https://www.sec.gov/Archives/edgar/data/1168165/000116816526000005/ceg-202601088kexh41.htm" TargetMode="External"/><Relationship Id="rId129" Type="http://schemas.openxmlformats.org/officeDocument/2006/relationships/hyperlink" Target="https://www.sec.gov/Archives/edgar/data/1168165/000116816526000005/ceg-202601088kexh42.htm" TargetMode="External"/><Relationship Id="rId130" Type="http://schemas.openxmlformats.org/officeDocument/2006/relationships/hyperlink" Target="https://www.sec.gov/Archives/edgar/data/1168165/000116816526000005/ceg-202601088kexh43.htm" TargetMode="External"/><Relationship Id="rId131" Type="http://schemas.openxmlformats.org/officeDocument/2006/relationships/hyperlink" Target="https://www.sec.gov/Archives/edgar/data/1168165/000116816526000005/ceg-202601088kexh44.htm" TargetMode="External"/><Relationship Id="rId132" Type="http://schemas.openxmlformats.org/officeDocument/2006/relationships/hyperlink" Target="https://www.sec.gov/Archives/edgar/data/1868275/000186827526000009/ceg-202601158kexh41.htm" TargetMode="External"/><Relationship Id="rId133" Type="http://schemas.openxmlformats.org/officeDocument/2006/relationships/hyperlink" Target="https://www.sec.gov/Archives/edgar/data/1868275/000186827526000009/ceg-202601158kexh42.htm" TargetMode="External"/><Relationship Id="rId134" Type="http://schemas.openxmlformats.org/officeDocument/2006/relationships/hyperlink" Target="https://www.sec.gov/Archives/edgar/data/1868275/000186827526000009/ceg-202601158kexh43.htm" TargetMode="External"/><Relationship Id="rId136" Type="http://schemas.openxmlformats.org/officeDocument/2006/relationships/hyperlink" Target="https://www.sec.gov/Archives/edgar/data/1868275/000186827526000009/ceg-202601158kexh44.htm" TargetMode="External"/><Relationship Id="rId137" Type="http://schemas.openxmlformats.org/officeDocument/2006/relationships/hyperlink" Target="https://www.sec.gov/Archives/edgar/data/1868275/000186827526000009/ceg-202601158kexh45.htm" TargetMode="External"/><Relationship Id="rId138" Type="http://schemas.openxmlformats.org/officeDocument/2006/relationships/hyperlink" Target="https://www.sec.gov/Archives/edgar/data/1868275/000186827526000009/ceg-202601158kexh46.htm" TargetMode="External"/><Relationship Id="rId139" Type="http://schemas.openxmlformats.org/officeDocument/2006/relationships/hyperlink" Target="https://www.sec.gov/Archives/edgar/data/1868275/000110465926001780/tm2532248d1_ex10-1.htm" TargetMode="External"/><Relationship Id="rId140" Type="http://schemas.openxmlformats.org/officeDocument/2006/relationships/hyperlink" Target="https://www.sec.gov/Archives/edgar/data/1868275/000110465926001780/tm2532248d1_ex10-2.htm" TargetMode="External"/><Relationship Id="rId141" Type="http://schemas.openxmlformats.org/officeDocument/2006/relationships/hyperlink" Target="https://www.sec.gov/Archives/edgar/data/1868275/000110465926001780/tm2532248d1_ex10-3.htm" TargetMode="External"/><Relationship Id="rId142" Type="http://schemas.openxmlformats.org/officeDocument/2006/relationships/hyperlink" Target="https://www.sec.gov/Archives/edgar/data/1868275/000110465926001780/tm2532248d1_ex10-4.htm" TargetMode="External"/><Relationship Id="rId143" Type="http://schemas.openxmlformats.org/officeDocument/2006/relationships/hyperlink" Target="https://www.sec.gov/Archives/edgar/data/1868275/000110465926001780/tm2532248d1_ex10-5.htm" TargetMode="External"/><Relationship Id="rId144" Type="http://schemas.openxmlformats.org/officeDocument/2006/relationships/hyperlink" Target="https://www.sec.gov/Archives/edgar/data/1868275/000110465926001780/tm2532248d1_ex10-6.htm" TargetMode="External"/><Relationship Id="rId145" Type="http://schemas.openxmlformats.org/officeDocument/2006/relationships/hyperlink" Target="https://www.sec.gov/Archives/edgar/data/1868275/000110465926001780/tm2532248d1_ex10-7.htm" TargetMode="External"/><Relationship Id="rId146" Type="http://schemas.openxmlformats.org/officeDocument/2006/relationships/hyperlink" Target="https://www.sec.gov/Archives/edgar/data/1868275/000110465926001780/tm2532248d1_ex10-8.htm" TargetMode="External"/><Relationship Id="rId147" Type="http://schemas.openxmlformats.org/officeDocument/2006/relationships/hyperlink" Target="https://www.sec.gov/Archives/edgar/data/1868275/000110465926001780/tm2532248d1_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2026-05-11T11:30:39Z</dcterms:created>
  <dcterms:modified xsi:type="dcterms:W3CDTF">2026-05-11T11:30:39Z</dcterms:modified>
</cp:coreProperties>
</file>