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0001697866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Constellation Energy Corporation</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001-41137</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1310 Point Street</w:t>
              <w:br/>
              <w:t>Baltimore</w:t>
              <w:br/>
              <w:t xml:space="preserve">MARYLAND </w:t>
              <w:br/>
              <w:t>21231</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1-833-883-0162</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Andrew Novotny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9909</w:t>
            </w:r>
          </w:p>
        </w:tc>
        <w:tc>
          <w:tcPr>
            <w:tcW w:w="1391" w:type="dxa"/>
            <w:tcBorders/>
            <w:vAlign w:val="center"/>
          </w:tcPr>
          <w:p>
            <w:pPr>
              <w:pStyle w:val="TableContents"/>
              <w:bidi w:val="0"/>
              <w:spacing w:before="0" w:after="283"/>
              <w:jc w:val="left"/>
              <w:rPr/>
            </w:pPr>
            <w:r>
              <w:rPr/>
              <w:t>2604085.2</w:t>
            </w:r>
          </w:p>
        </w:tc>
        <w:tc>
          <w:tcPr>
            <w:tcW w:w="1565" w:type="dxa"/>
            <w:tcBorders/>
            <w:vAlign w:val="center"/>
          </w:tcPr>
          <w:p>
            <w:pPr>
              <w:pStyle w:val="TableContents"/>
              <w:bidi w:val="0"/>
              <w:spacing w:before="0" w:after="283"/>
              <w:jc w:val="left"/>
              <w:rPr/>
            </w:pPr>
            <w:r>
              <w:rPr/>
              <w:t>354307379</w:t>
            </w:r>
          </w:p>
        </w:tc>
        <w:tc>
          <w:tcPr>
            <w:tcW w:w="1574" w:type="dxa"/>
            <w:tcBorders/>
            <w:vAlign w:val="center"/>
          </w:tcPr>
          <w:p>
            <w:pPr>
              <w:pStyle w:val="TableContents"/>
              <w:bidi w:val="0"/>
              <w:spacing w:before="0" w:after="283"/>
              <w:jc w:val="left"/>
              <w:rPr/>
            </w:pPr>
            <w:r>
              <w:rPr/>
              <w:t>09/17/2026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4"/>
        <w:gridCol w:w="1133"/>
        <w:gridCol w:w="1527"/>
        <w:gridCol w:w="1212"/>
        <w:gridCol w:w="530"/>
        <w:gridCol w:w="1133"/>
        <w:gridCol w:w="1200"/>
        <w:gridCol w:w="1075"/>
        <w:gridCol w:w="1241"/>
      </w:tblGrid>
      <w:tr>
        <w:trPr/>
        <w:tc>
          <w:tcPr>
            <w:tcW w:w="1154" w:type="dxa"/>
            <w:tcBorders/>
            <w:vAlign w:val="center"/>
          </w:tcPr>
          <w:p>
            <w:pPr>
              <w:pStyle w:val="TableHeading"/>
              <w:suppressLineNumbers/>
              <w:bidi w:val="0"/>
              <w:spacing w:before="0" w:after="283"/>
              <w:jc w:val="center"/>
              <w:rPr/>
            </w:pPr>
            <w:r>
              <w:rPr/>
              <w:t>Title of the Class</w:t>
            </w:r>
          </w:p>
        </w:tc>
        <w:tc>
          <w:tcPr>
            <w:tcW w:w="1133" w:type="dxa"/>
            <w:tcBorders/>
            <w:vAlign w:val="center"/>
          </w:tcPr>
          <w:p>
            <w:pPr>
              <w:pStyle w:val="TableHeading"/>
              <w:suppressLineNumbers/>
              <w:bidi w:val="0"/>
              <w:spacing w:before="0" w:after="283"/>
              <w:jc w:val="center"/>
              <w:rPr/>
            </w:pPr>
            <w:r>
              <w:rPr/>
              <w:t>Date you Acquired</w:t>
            </w:r>
          </w:p>
        </w:tc>
        <w:tc>
          <w:tcPr>
            <w:tcW w:w="1527" w:type="dxa"/>
            <w:tcBorders/>
            <w:vAlign w:val="center"/>
          </w:tcPr>
          <w:p>
            <w:pPr>
              <w:pStyle w:val="TableHeading"/>
              <w:suppressLineNumbers/>
              <w:bidi w:val="0"/>
              <w:spacing w:before="0" w:after="283"/>
              <w:jc w:val="center"/>
              <w:rPr/>
            </w:pPr>
            <w:r>
              <w:rPr/>
              <w:t>Nature of Acquisition Transaction</w:t>
            </w:r>
          </w:p>
        </w:tc>
        <w:tc>
          <w:tcPr>
            <w:tcW w:w="1212"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3" w:type="dxa"/>
            <w:tcBorders/>
            <w:vAlign w:val="center"/>
          </w:tcPr>
          <w:p>
            <w:pPr>
              <w:pStyle w:val="TableHeading"/>
              <w:suppressLineNumbers/>
              <w:bidi w:val="0"/>
              <w:spacing w:before="0" w:after="283"/>
              <w:jc w:val="center"/>
              <w:rPr/>
            </w:pPr>
            <w:r>
              <w:rPr/>
              <w:t>Date Donor Acquired</w:t>
            </w:r>
          </w:p>
        </w:tc>
        <w:tc>
          <w:tcPr>
            <w:tcW w:w="1200"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4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4" w:type="dxa"/>
            <w:tcBorders/>
            <w:vAlign w:val="center"/>
          </w:tcPr>
          <w:p>
            <w:pPr>
              <w:pStyle w:val="TableContents"/>
              <w:bidi w:val="0"/>
              <w:spacing w:before="0" w:after="283"/>
              <w:jc w:val="left"/>
              <w:rPr/>
            </w:pPr>
            <w:r>
              <w:rPr/>
              <w:t>Common Stock</w:t>
            </w:r>
          </w:p>
        </w:tc>
        <w:tc>
          <w:tcPr>
            <w:tcW w:w="1133" w:type="dxa"/>
            <w:tcBorders/>
            <w:vAlign w:val="center"/>
          </w:tcPr>
          <w:p>
            <w:pPr>
              <w:pStyle w:val="TableContents"/>
              <w:bidi w:val="0"/>
              <w:spacing w:before="0" w:after="283"/>
              <w:jc w:val="left"/>
              <w:rPr/>
            </w:pPr>
            <w:r>
              <w:rPr/>
              <w:t>01/07/2026</w:t>
            </w:r>
          </w:p>
        </w:tc>
        <w:tc>
          <w:tcPr>
            <w:tcW w:w="1527" w:type="dxa"/>
            <w:tcBorders/>
            <w:vAlign w:val="center"/>
          </w:tcPr>
          <w:p>
            <w:pPr>
              <w:pStyle w:val="TableContents"/>
              <w:bidi w:val="0"/>
              <w:spacing w:before="0" w:after="283"/>
              <w:jc w:val="left"/>
              <w:rPr/>
            </w:pPr>
            <w:r>
              <w:rPr/>
              <w:t>Acquired as consideration of merger or acquisition</w:t>
            </w:r>
          </w:p>
        </w:tc>
        <w:tc>
          <w:tcPr>
            <w:tcW w:w="1212" w:type="dxa"/>
            <w:tcBorders/>
            <w:vAlign w:val="center"/>
          </w:tcPr>
          <w:p>
            <w:pPr>
              <w:pStyle w:val="TableContents"/>
              <w:bidi w:val="0"/>
              <w:spacing w:before="0" w:after="283"/>
              <w:jc w:val="left"/>
              <w:rPr/>
            </w:pPr>
            <w:r>
              <w:rPr/>
              <w:t>Issuer</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pPr>
            <w:r>
              <w:rPr/>
              <w:t>9909</w:t>
            </w:r>
          </w:p>
        </w:tc>
        <w:tc>
          <w:tcPr>
            <w:tcW w:w="1075" w:type="dxa"/>
            <w:tcBorders/>
            <w:vAlign w:val="center"/>
          </w:tcPr>
          <w:p>
            <w:pPr>
              <w:pStyle w:val="TableContents"/>
              <w:bidi w:val="0"/>
              <w:spacing w:before="0" w:after="283"/>
              <w:jc w:val="left"/>
              <w:rPr/>
            </w:pPr>
            <w:r>
              <w:rPr/>
              <w:t>01/07/2026</w:t>
            </w:r>
          </w:p>
        </w:tc>
        <w:tc>
          <w:tcPr>
            <w:tcW w:w="1241" w:type="dxa"/>
            <w:tcBorders/>
            <w:vAlign w:val="center"/>
          </w:tcPr>
          <w:p>
            <w:pPr>
              <w:pStyle w:val="TableContents"/>
              <w:bidi w:val="0"/>
              <w:spacing w:before="0" w:after="283"/>
              <w:jc w:val="left"/>
              <w:rPr/>
            </w:pPr>
            <w:r>
              <w:rPr/>
              <w:t>Securities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8"/>
        <w:gridCol w:w="2939"/>
        <w:gridCol w:w="943"/>
        <w:gridCol w:w="1560"/>
        <w:gridCol w:w="1845"/>
      </w:tblGrid>
      <w:tr>
        <w:trPr/>
        <w:tc>
          <w:tcPr>
            <w:tcW w:w="2918" w:type="dxa"/>
            <w:tcBorders/>
            <w:vAlign w:val="center"/>
          </w:tcPr>
          <w:p>
            <w:pPr>
              <w:pStyle w:val="TableHeading"/>
              <w:suppressLineNumbers/>
              <w:bidi w:val="0"/>
              <w:spacing w:before="0" w:after="283"/>
              <w:jc w:val="center"/>
              <w:rPr/>
            </w:pPr>
            <w:r>
              <w:rPr/>
              <w:t>Name and Address of Seller</w:t>
            </w:r>
          </w:p>
        </w:tc>
        <w:tc>
          <w:tcPr>
            <w:tcW w:w="2939"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845" w:type="dxa"/>
            <w:tcBorders/>
            <w:vAlign w:val="center"/>
          </w:tcPr>
          <w:p>
            <w:pPr>
              <w:pStyle w:val="TableHeading"/>
              <w:suppressLineNumbers/>
              <w:bidi w:val="0"/>
              <w:spacing w:before="0" w:after="283"/>
              <w:jc w:val="center"/>
              <w:rPr/>
            </w:pPr>
            <w:r>
              <w:rPr/>
              <w:t>Gross Proceeds</w:t>
            </w:r>
          </w:p>
        </w:tc>
      </w:tr>
      <w:tr>
        <w:trPr/>
        <w:tc>
          <w:tcPr>
            <w:tcW w:w="2918" w:type="dxa"/>
            <w:tcBorders/>
            <w:vAlign w:val="center"/>
          </w:tcPr>
          <w:p>
            <w:pPr>
              <w:pStyle w:val="TableContents"/>
              <w:bidi w:val="0"/>
              <w:spacing w:before="0" w:after="283"/>
              <w:jc w:val="left"/>
              <w:rPr/>
            </w:pPr>
            <w:r>
              <w:rPr/>
              <w:t>Andrew &amp; Eloise Novotny TenCom</w:t>
              <w:br/>
              <w:t>1310 Point Street</w:t>
              <w:br/>
              <w:t>Baltimore   MD   21231</w:t>
            </w:r>
          </w:p>
        </w:tc>
        <w:tc>
          <w:tcPr>
            <w:tcW w:w="2939" w:type="dxa"/>
            <w:tcBorders/>
            <w:vAlign w:val="center"/>
          </w:tcPr>
          <w:p>
            <w:pPr>
              <w:pStyle w:val="TableContents"/>
              <w:bidi w:val="0"/>
              <w:spacing w:before="0" w:after="283"/>
              <w:jc w:val="left"/>
              <w:rPr/>
            </w:pPr>
            <w:r>
              <w:rPr/>
              <w:t>Common Stock</w:t>
            </w:r>
          </w:p>
        </w:tc>
        <w:tc>
          <w:tcPr>
            <w:tcW w:w="943" w:type="dxa"/>
            <w:tcBorders/>
            <w:vAlign w:val="center"/>
          </w:tcPr>
          <w:p>
            <w:pPr>
              <w:pStyle w:val="TableContents"/>
              <w:bidi w:val="0"/>
              <w:spacing w:before="0" w:after="283"/>
              <w:jc w:val="left"/>
              <w:rPr/>
            </w:pPr>
            <w:r>
              <w:rPr/>
              <w:t>08/21/2026</w:t>
            </w:r>
          </w:p>
        </w:tc>
        <w:tc>
          <w:tcPr>
            <w:tcW w:w="1560" w:type="dxa"/>
            <w:tcBorders/>
            <w:vAlign w:val="center"/>
          </w:tcPr>
          <w:p>
            <w:pPr>
              <w:pStyle w:val="TableContents"/>
              <w:bidi w:val="0"/>
              <w:spacing w:before="0" w:after="283"/>
              <w:jc w:val="left"/>
              <w:rPr/>
            </w:pPr>
            <w:r>
              <w:rPr/>
              <w:t>9912</w:t>
            </w:r>
          </w:p>
        </w:tc>
        <w:tc>
          <w:tcPr>
            <w:tcW w:w="1845" w:type="dxa"/>
            <w:tcBorders/>
            <w:vAlign w:val="center"/>
          </w:tcPr>
          <w:p>
            <w:pPr>
              <w:pStyle w:val="TableContents"/>
              <w:bidi w:val="0"/>
              <w:spacing w:before="0" w:after="283"/>
              <w:jc w:val="left"/>
              <w:rPr/>
            </w:pPr>
            <w:r>
              <w:rPr/>
              <w:t>2719116.34</w:t>
            </w:r>
          </w:p>
        </w:tc>
      </w:tr>
      <w:tr>
        <w:trPr/>
        <w:tc>
          <w:tcPr>
            <w:tcW w:w="2918" w:type="dxa"/>
            <w:tcBorders/>
            <w:vAlign w:val="center"/>
          </w:tcPr>
          <w:p>
            <w:pPr>
              <w:pStyle w:val="TableContents"/>
              <w:bidi w:val="0"/>
              <w:spacing w:before="0" w:after="283"/>
              <w:jc w:val="left"/>
              <w:rPr/>
            </w:pPr>
            <w:r>
              <w:rPr/>
              <w:t>Andrew &amp; Eloise Novotny TenCom</w:t>
              <w:br/>
              <w:t>1310 Point Street</w:t>
              <w:br/>
              <w:t>Baltimore   MD   21231</w:t>
            </w:r>
          </w:p>
        </w:tc>
        <w:tc>
          <w:tcPr>
            <w:tcW w:w="2939" w:type="dxa"/>
            <w:tcBorders/>
            <w:vAlign w:val="center"/>
          </w:tcPr>
          <w:p>
            <w:pPr>
              <w:pStyle w:val="TableContents"/>
              <w:bidi w:val="0"/>
              <w:spacing w:before="0" w:after="283"/>
              <w:jc w:val="left"/>
              <w:rPr/>
            </w:pPr>
            <w:r>
              <w:rPr/>
              <w:t>Common Stock</w:t>
            </w:r>
          </w:p>
        </w:tc>
        <w:tc>
          <w:tcPr>
            <w:tcW w:w="943" w:type="dxa"/>
            <w:tcBorders/>
            <w:vAlign w:val="center"/>
          </w:tcPr>
          <w:p>
            <w:pPr>
              <w:pStyle w:val="TableContents"/>
              <w:bidi w:val="0"/>
              <w:spacing w:before="0" w:after="283"/>
              <w:jc w:val="left"/>
              <w:rPr/>
            </w:pPr>
            <w:r>
              <w:rPr/>
              <w:t>08/21/2026</w:t>
            </w:r>
          </w:p>
        </w:tc>
        <w:tc>
          <w:tcPr>
            <w:tcW w:w="1560" w:type="dxa"/>
            <w:tcBorders/>
            <w:vAlign w:val="center"/>
          </w:tcPr>
          <w:p>
            <w:pPr>
              <w:pStyle w:val="TableContents"/>
              <w:bidi w:val="0"/>
              <w:spacing w:before="0" w:after="283"/>
              <w:jc w:val="left"/>
              <w:rPr/>
            </w:pPr>
            <w:r>
              <w:rPr/>
              <w:t>9913</w:t>
            </w:r>
          </w:p>
        </w:tc>
        <w:tc>
          <w:tcPr>
            <w:tcW w:w="1845" w:type="dxa"/>
            <w:tcBorders/>
            <w:vAlign w:val="center"/>
          </w:tcPr>
          <w:p>
            <w:pPr>
              <w:pStyle w:val="TableContents"/>
              <w:bidi w:val="0"/>
              <w:spacing w:before="0" w:after="283"/>
              <w:jc w:val="left"/>
              <w:rPr/>
            </w:pPr>
            <w:r>
              <w:rPr/>
              <w:t>2701477.87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1"/>
        <w:gridCol w:w="6374"/>
      </w:tblGrid>
      <w:tr>
        <w:trPr/>
        <w:tc>
          <w:tcPr>
            <w:tcW w:w="3831" w:type="dxa"/>
            <w:tcBorders/>
            <w:vAlign w:val="center"/>
          </w:tcPr>
          <w:p>
            <w:pPr>
              <w:pStyle w:val="TableContents"/>
              <w:bidi w:val="0"/>
              <w:spacing w:before="0" w:after="283"/>
              <w:jc w:val="left"/>
              <w:rPr/>
            </w:pPr>
            <w:r>
              <w:rPr/>
              <w:t>Remarks</w:t>
            </w:r>
          </w:p>
        </w:tc>
        <w:tc>
          <w:tcPr>
            <w:tcW w:w="6374" w:type="dxa"/>
            <w:tcBorders/>
            <w:vAlign w:val="center"/>
          </w:tcPr>
          <w:p>
            <w:pPr>
              <w:pStyle w:val="TableContents"/>
              <w:bidi w:val="0"/>
              <w:spacing w:before="0" w:after="0"/>
              <w:jc w:val="left"/>
              <w:rPr/>
            </w:pPr>
            <w:r>
              <w:rPr/>
              <w:t>The sales of shares set forth herein are made in connection with a selling plan dated 05/18/2026 that is intended to comply with Rule 10b5-1(c).</w:t>
            </w:r>
          </w:p>
        </w:tc>
      </w:tr>
      <w:tr>
        <w:trPr/>
        <w:tc>
          <w:tcPr>
            <w:tcW w:w="3831" w:type="dxa"/>
            <w:tcBorders/>
            <w:vAlign w:val="center"/>
          </w:tcPr>
          <w:p>
            <w:pPr>
              <w:pStyle w:val="TableContents"/>
              <w:bidi w:val="0"/>
              <w:spacing w:before="0" w:after="283"/>
              <w:jc w:val="left"/>
              <w:rPr/>
            </w:pPr>
            <w:r>
              <w:rPr/>
              <w:t>Date of Notice</w:t>
            </w:r>
          </w:p>
        </w:tc>
        <w:tc>
          <w:tcPr>
            <w:tcW w:w="6374" w:type="dxa"/>
            <w:tcBorders/>
            <w:vAlign w:val="center"/>
          </w:tcPr>
          <w:p>
            <w:pPr>
              <w:pStyle w:val="TableContents"/>
              <w:bidi w:val="0"/>
              <w:spacing w:before="0" w:after="0"/>
              <w:jc w:val="left"/>
              <w:rPr/>
            </w:pPr>
            <w:r>
              <w:rPr/>
              <w:t>09/17/2026</w:t>
            </w:r>
          </w:p>
        </w:tc>
      </w:tr>
      <w:tr>
        <w:trPr/>
        <w:tc>
          <w:tcPr>
            <w:tcW w:w="3831" w:type="dxa"/>
            <w:tcBorders/>
            <w:vAlign w:val="center"/>
          </w:tcPr>
          <w:p>
            <w:pPr>
              <w:pStyle w:val="TableContents"/>
              <w:bidi w:val="0"/>
              <w:spacing w:before="0" w:after="283"/>
              <w:jc w:val="left"/>
              <w:rPr/>
            </w:pPr>
            <w:r>
              <w:rPr/>
              <w:t>Date of Plan Adoption or Giving of Instruction, If Relying on Rule 10b5-1</w:t>
            </w:r>
          </w:p>
        </w:tc>
        <w:tc>
          <w:tcPr>
            <w:tcW w:w="6374" w:type="dxa"/>
            <w:tcBorders/>
            <w:vAlign w:val="center"/>
          </w:tcPr>
          <w:p>
            <w:pPr>
              <w:pStyle w:val="TableContents"/>
              <w:bidi w:val="0"/>
              <w:spacing w:before="0" w:after="0"/>
              <w:jc w:val="left"/>
              <w:rPr/>
            </w:pPr>
            <w:r>
              <w:rPr/>
              <w:t>05/18/2026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1" w:type="dxa"/>
            <w:tcBorders/>
            <w:vAlign w:val="center"/>
          </w:tcPr>
          <w:p>
            <w:pPr>
              <w:pStyle w:val="TableContents"/>
              <w:bidi w:val="0"/>
              <w:spacing w:before="0" w:after="283"/>
              <w:jc w:val="left"/>
              <w:rPr/>
            </w:pPr>
            <w:r>
              <w:rPr/>
              <w:t>Signature</w:t>
            </w:r>
          </w:p>
        </w:tc>
        <w:tc>
          <w:tcPr>
            <w:tcW w:w="6374" w:type="dxa"/>
            <w:tcBorders/>
            <w:vAlign w:val="center"/>
          </w:tcPr>
          <w:p>
            <w:pPr>
              <w:pStyle w:val="TableContents"/>
              <w:bidi w:val="0"/>
              <w:spacing w:before="0" w:after="0"/>
              <w:jc w:val="left"/>
              <w:rPr/>
            </w:pPr>
            <w:r>
              <w:rPr/>
              <w:t>Goldman Sachs &amp; Co. LLC on behalf of Andrew Novotny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3385</Characters>
  <CharactersWithSpaces>3991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