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 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FORM 10-Q</w:t>
      </w:r>
    </w:p>
    <w:tbl>
      <w:tblPr>
        <w:tblW w:w="8996" w:type="dxa"/>
        <w:jc w:val="left"/>
        <w:tblInd w:w="0" w:type="dxa"/>
        <w:tblLayout w:type="fixed"/>
        <w:tblCellMar>
          <w:top w:w="28" w:type="dxa"/>
          <w:left w:w="28" w:type="dxa"/>
          <w:bottom w:w="28" w:type="dxa"/>
          <w:right w:w="28" w:type="dxa"/>
        </w:tblCellMar>
      </w:tblPr>
      <w:tblGrid>
        <w:gridCol w:w="124"/>
        <w:gridCol w:w="109"/>
        <w:gridCol w:w="109"/>
        <w:gridCol w:w="2532"/>
        <w:gridCol w:w="2532"/>
        <w:gridCol w:w="35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bl>
    <w:p>
      <w:pPr>
        <w:pStyle w:val="TextBody"/>
        <w:bidi w:val="0"/>
        <w:spacing w:lineRule="auto" w:line="288" w:before="20" w:after="283"/>
        <w:jc w:val="center"/>
        <w:rPr>
          <w:rFonts w:ascii="Arial;sans-serif" w:hAnsi="Arial;sans-serif"/>
          <w:b/>
          <w:color w:val="000000"/>
          <w:sz w:val="16"/>
        </w:rPr>
      </w:pPr>
      <w:r>
        <w:rPr>
          <w:rFonts w:ascii="Arial;sans-serif" w:hAnsi="Arial;sans-serif"/>
          <w:b/>
          <w:color w:val="000000"/>
          <w:sz w:val="16"/>
        </w:rPr>
        <w:t>For the Quarterly Period Ended June 30, 2026</w:t>
      </w:r>
    </w:p>
    <w:p>
      <w:pPr>
        <w:pStyle w:val="TextBody"/>
        <w:bidi w:val="0"/>
        <w:spacing w:lineRule="auto" w:line="288" w:before="0" w:after="0"/>
        <w:jc w:val="center"/>
        <w:rPr/>
      </w:pPr>
      <w:r>
        <w:rPr>
          <w:color w:val="000000"/>
        </w:rPr>
        <w:t> </w:t>
      </w:r>
      <w:r>
        <w:rPr>
          <w:rFonts w:ascii="Arial;sans-serif" w:hAnsi="Arial;sans-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4"/>
        <w:gridCol w:w="2544"/>
        <w:gridCol w:w="3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Arial;sans-serif" w:hAnsi="Arial;sans-serif"/>
                <w:b/>
                <w:color w:val="000000"/>
                <w:sz w:val="16"/>
              </w:rPr>
              <w:t>TRANSITION REPORT PURSUANT TO SECTION 13 OR 15(d) OF THE SECURITIES EXCHANGE ACT OF 1934</w:t>
            </w:r>
          </w:p>
        </w:tc>
      </w:tr>
    </w:tbl>
    <w:tbl>
      <w:tblPr>
        <w:tblW w:w="10205" w:type="dxa"/>
        <w:jc w:val="center"/>
        <w:tblInd w:w="0" w:type="dxa"/>
        <w:tblLayout w:type="fixed"/>
        <w:tblCellMar>
          <w:top w:w="28" w:type="dxa"/>
          <w:left w:w="28" w:type="dxa"/>
          <w:bottom w:w="28" w:type="dxa"/>
          <w:right w:w="28" w:type="dxa"/>
        </w:tblCellMar>
      </w:tblPr>
      <w:tblGrid>
        <w:gridCol w:w="375"/>
        <w:gridCol w:w="330"/>
        <w:gridCol w:w="331"/>
        <w:gridCol w:w="109"/>
        <w:gridCol w:w="109"/>
        <w:gridCol w:w="109"/>
        <w:gridCol w:w="2256"/>
        <w:gridCol w:w="2070"/>
        <w:gridCol w:w="2075"/>
        <w:gridCol w:w="109"/>
        <w:gridCol w:w="109"/>
        <w:gridCol w:w="109"/>
        <w:gridCol w:w="618"/>
        <w:gridCol w:w="618"/>
        <w:gridCol w:w="878"/>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IRS Employer Identification Number</w:t>
            </w:r>
          </w:p>
        </w:tc>
      </w:tr>
      <w:tr>
        <w:trPr/>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001-41137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87-1210716</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 Pennsylvania corporation)</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1310 Point Street</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Baltimore, Maryland 21231-3380</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333-85496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GENERATION,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23-3064219</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 Pennsylvania limited liability company)</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200 Energy Way</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Kennett Square, Pennsylvania 19348-2473</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9157" w:type="dxa"/>
        <w:jc w:val="center"/>
        <w:tblInd w:w="0" w:type="dxa"/>
        <w:tblLayout w:type="fixed"/>
        <w:tblCellMar>
          <w:top w:w="28" w:type="dxa"/>
          <w:left w:w="28" w:type="dxa"/>
          <w:bottom w:w="28" w:type="dxa"/>
          <w:right w:w="28" w:type="dxa"/>
        </w:tblCellMar>
      </w:tblPr>
      <w:tblGrid>
        <w:gridCol w:w="1315"/>
        <w:gridCol w:w="1155"/>
        <w:gridCol w:w="1174"/>
        <w:gridCol w:w="109"/>
        <w:gridCol w:w="109"/>
        <w:gridCol w:w="109"/>
        <w:gridCol w:w="479"/>
        <w:gridCol w:w="479"/>
        <w:gridCol w:w="481"/>
        <w:gridCol w:w="109"/>
        <w:gridCol w:w="109"/>
        <w:gridCol w:w="109"/>
        <w:gridCol w:w="1002"/>
        <w:gridCol w:w="1002"/>
        <w:gridCol w:w="1416"/>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Name of each exchange on which registered</w:t>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without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CEG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80" w:after="180"/>
        <w:jc w:val="both"/>
        <w:rPr>
          <w:rFonts w:ascii="Arial;sans-serif" w:hAnsi="Arial;sans-serif"/>
          <w:b w:val="false"/>
          <w:color w:val="000000"/>
          <w:sz w:val="16"/>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4608" w:type="dxa"/>
        <w:jc w:val="left"/>
        <w:tblInd w:w="0" w:type="dxa"/>
        <w:tblLayout w:type="fixed"/>
        <w:tblCellMar>
          <w:top w:w="28" w:type="dxa"/>
          <w:left w:w="28" w:type="dxa"/>
          <w:bottom w:w="28" w:type="dxa"/>
          <w:right w:w="28" w:type="dxa"/>
        </w:tblCellMar>
      </w:tblPr>
      <w:tblGrid>
        <w:gridCol w:w="1038"/>
        <w:gridCol w:w="911"/>
        <w:gridCol w:w="915"/>
        <w:gridCol w:w="130"/>
        <w:gridCol w:w="130"/>
        <w:gridCol w:w="131"/>
        <w:gridCol w:w="109"/>
        <w:gridCol w:w="109"/>
        <w:gridCol w:w="109"/>
        <w:gridCol w:w="109"/>
        <w:gridCol w:w="109"/>
        <w:gridCol w:w="109"/>
        <w:gridCol w:w="109"/>
        <w:gridCol w:w="109"/>
        <w:gridCol w:w="109"/>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Constellation Energy Corporation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Constellation Energy Generation, LLC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180"/>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180" w:after="18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703"/>
        <w:gridCol w:w="616"/>
        <w:gridCol w:w="619"/>
        <w:gridCol w:w="436"/>
        <w:gridCol w:w="436"/>
        <w:gridCol w:w="438"/>
        <w:gridCol w:w="109"/>
        <w:gridCol w:w="109"/>
        <w:gridCol w:w="109"/>
        <w:gridCol w:w="363"/>
        <w:gridCol w:w="363"/>
        <w:gridCol w:w="364"/>
        <w:gridCol w:w="109"/>
        <w:gridCol w:w="109"/>
        <w:gridCol w:w="109"/>
        <w:gridCol w:w="468"/>
        <w:gridCol w:w="468"/>
        <w:gridCol w:w="469"/>
        <w:gridCol w:w="109"/>
        <w:gridCol w:w="109"/>
        <w:gridCol w:w="109"/>
        <w:gridCol w:w="465"/>
        <w:gridCol w:w="465"/>
        <w:gridCol w:w="467"/>
        <w:gridCol w:w="109"/>
        <w:gridCol w:w="109"/>
        <w:gridCol w:w="109"/>
        <w:gridCol w:w="457"/>
        <w:gridCol w:w="457"/>
        <w:gridCol w:w="459"/>
        <w:gridCol w:w="109"/>
        <w:gridCol w:w="109"/>
        <w:gridCol w:w="166"/>
      </w:tblGrid>
      <w:tr>
        <w:trPr/>
        <w:tc>
          <w:tcPr>
            <w:tcW w:w="70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Constellation Energy Corporation</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Emerging Growth Company</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9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Constellation Energy Generation, LLC</w:t>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Emerging Growth Company</w:t>
            </w:r>
          </w:p>
        </w:tc>
        <w:tc>
          <w:tcPr>
            <w:tcW w:w="384"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bl>
    <w:p>
      <w:pPr>
        <w:pStyle w:val="TextBody"/>
        <w:bidi w:val="0"/>
        <w:spacing w:lineRule="auto" w:line="288" w:before="80" w:after="18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80" w:after="180"/>
        <w:jc w:val="both"/>
        <w:rPr/>
      </w:pPr>
      <w:r>
        <w:rPr>
          <w:rFonts w:ascii="Arial;sans-serif" w:hAnsi="Arial;sans-serif"/>
          <w:b w:val="false"/>
          <w:color w:val="000000"/>
          <w:sz w:val="16"/>
        </w:rPr>
        <w:t>Indicate by check mark whether the registrant is a shell company (as defined in Rule 12b-2 of the Act).  Yes  </w:t>
      </w:r>
      <w:r>
        <w:rPr>
          <w:color w:val="000000"/>
        </w:rPr>
        <w:t>☐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lineRule="auto" w:line="288" w:before="80" w:after="180"/>
        <w:jc w:val="left"/>
        <w:rPr>
          <w:rFonts w:ascii="Arial;sans-serif" w:hAnsi="Arial;sans-serif"/>
          <w:b w:val="false"/>
          <w:color w:val="000000"/>
          <w:sz w:val="16"/>
        </w:rPr>
      </w:pPr>
      <w:r>
        <w:rPr>
          <w:rFonts w:ascii="Arial;sans-serif" w:hAnsi="Arial;sans-serif"/>
          <w:b w:val="false"/>
          <w:color w:val="000000"/>
          <w:sz w:val="16"/>
        </w:rPr>
        <w:t>The number of shares outstanding of each registrant’s common stock as of July 31, 2026 was as follows:</w:t>
      </w:r>
    </w:p>
    <w:tbl>
      <w:tblPr>
        <w:tblW w:w="6214" w:type="dxa"/>
        <w:jc w:val="left"/>
        <w:tblInd w:w="0" w:type="dxa"/>
        <w:tblLayout w:type="fixed"/>
        <w:tblCellMar>
          <w:top w:w="28" w:type="dxa"/>
          <w:left w:w="28" w:type="dxa"/>
          <w:bottom w:w="28" w:type="dxa"/>
          <w:right w:w="28" w:type="dxa"/>
        </w:tblCellMar>
      </w:tblPr>
      <w:tblGrid>
        <w:gridCol w:w="1816"/>
        <w:gridCol w:w="1592"/>
        <w:gridCol w:w="1601"/>
        <w:gridCol w:w="525"/>
        <w:gridCol w:w="526"/>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Constellation Energy Corporation Common Stock, without par value</w:t>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354,307,379 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Constellation Energy Generation, LLC</w:t>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Not applicable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TABLE OF CONTENTS</w:t>
      </w:r>
    </w:p>
    <w:tbl>
      <w:tblPr>
        <w:tblW w:w="10109" w:type="dxa"/>
        <w:jc w:val="left"/>
        <w:tblInd w:w="0" w:type="dxa"/>
        <w:tblLayout w:type="fixed"/>
        <w:tblCellMar>
          <w:top w:w="28" w:type="dxa"/>
          <w:left w:w="28" w:type="dxa"/>
          <w:bottom w:w="28" w:type="dxa"/>
          <w:right w:w="28" w:type="dxa"/>
        </w:tblCellMar>
      </w:tblPr>
      <w:tblGrid>
        <w:gridCol w:w="1283"/>
        <w:gridCol w:w="1128"/>
        <w:gridCol w:w="1128"/>
        <w:gridCol w:w="1882"/>
        <w:gridCol w:w="1882"/>
        <w:gridCol w:w="1890"/>
        <w:gridCol w:w="268"/>
        <w:gridCol w:w="268"/>
        <w:gridCol w:w="380"/>
      </w:tblGrid>
      <w:tr>
        <w:trPr/>
        <w:tc>
          <w:tcPr>
            <w:tcW w:w="12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91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28">
              <w:r>
                <w:rPr>
                  <w:rStyle w:val="InternetLink"/>
                  <w:rFonts w:ascii="Arial;sans-serif" w:hAnsi="Arial;sans-serif"/>
                  <w:b/>
                  <w:color w:val="0000FF"/>
                  <w:sz w:val="18"/>
                  <w:u w:val="single"/>
                </w:rPr>
                <w:t>GLOSSARY OF TERMS AND ABBREVIATIONS</w:t>
              </w:r>
            </w:hyperlink>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5b2e2cd1fbda44c68bbdd8537ab016e5_28">
              <w:r>
                <w:rPr>
                  <w:rStyle w:val="InternetLink"/>
                  <w:rFonts w:ascii="Arial;sans-serif" w:hAnsi="Arial;sans-serif"/>
                  <w:b w:val="false"/>
                  <w:color w:val="0000FF"/>
                  <w:sz w:val="18"/>
                  <w:u w:val="single"/>
                </w:rPr>
                <w:t>1</w:t>
              </w:r>
            </w:hyperlink>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31">
              <w:r>
                <w:rPr>
                  <w:rStyle w:val="InternetLink"/>
                  <w:rFonts w:ascii="Arial;sans-serif" w:hAnsi="Arial;sans-serif"/>
                  <w:b/>
                  <w:color w:val="0000FF"/>
                  <w:sz w:val="18"/>
                  <w:u w:val="single"/>
                </w:rPr>
                <w:t>FILING FORMAT</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31">
              <w:r>
                <w:rPr>
                  <w:rStyle w:val="InternetLink"/>
                  <w:rFonts w:ascii="Arial;sans-serif" w:hAnsi="Arial;sans-serif"/>
                  <w:b w:val="false"/>
                  <w:color w:val="0000FF"/>
                  <w:sz w:val="18"/>
                  <w:u w:val="single"/>
                </w:rPr>
                <w:t>4</w:t>
              </w:r>
            </w:hyperlink>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34">
              <w:r>
                <w:rPr>
                  <w:rStyle w:val="InternetLink"/>
                  <w:rFonts w:ascii="Arial;sans-serif" w:hAnsi="Arial;sans-serif"/>
                  <w:b/>
                  <w:color w:val="0000FF"/>
                  <w:sz w:val="18"/>
                  <w:u w:val="single"/>
                </w:rPr>
                <w:t>CAUTIONARY STATEMENTS REGARDING FORWARD-LOOKING INFORMATION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34">
              <w:r>
                <w:rPr>
                  <w:rStyle w:val="InternetLink"/>
                  <w:rFonts w:ascii="Arial;sans-serif" w:hAnsi="Arial;sans-serif"/>
                  <w:b w:val="false"/>
                  <w:color w:val="0000FF"/>
                  <w:sz w:val="18"/>
                  <w:u w:val="single"/>
                </w:rPr>
                <w:t>4</w:t>
              </w:r>
            </w:hyperlink>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37">
              <w:r>
                <w:rPr>
                  <w:rStyle w:val="InternetLink"/>
                  <w:rFonts w:ascii="Arial;sans-serif" w:hAnsi="Arial;sans-serif"/>
                  <w:b/>
                  <w:color w:val="0000FF"/>
                  <w:sz w:val="18"/>
                  <w:u w:val="single"/>
                </w:rPr>
                <w:t>AVAILABLE INFORMATION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37">
              <w:r>
                <w:rPr>
                  <w:rStyle w:val="InternetLink"/>
                  <w:rFonts w:ascii="Arial;sans-serif" w:hAnsi="Arial;sans-serif"/>
                  <w:b w:val="false"/>
                  <w:color w:val="0000FF"/>
                  <w:sz w:val="18"/>
                  <w:u w:val="single"/>
                </w:rPr>
                <w:t>4</w:t>
              </w:r>
            </w:hyperlink>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40">
              <w:r>
                <w:rPr>
                  <w:rStyle w:val="InternetLink"/>
                  <w:rFonts w:ascii="Arial;sans-serif" w:hAnsi="Arial;sans-serif"/>
                  <w:b/>
                  <w:color w:val="0000FF"/>
                  <w:sz w:val="18"/>
                  <w:u w:val="single"/>
                </w:rPr>
                <w:t>PART I</w:t>
              </w:r>
            </w:hyperlink>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40">
              <w:r>
                <w:rPr>
                  <w:rStyle w:val="InternetLink"/>
                  <w:rFonts w:ascii="Arial;sans-serif" w:hAnsi="Arial;sans-serif"/>
                  <w:b/>
                  <w:color w:val="0000FF"/>
                  <w:sz w:val="18"/>
                  <w:u w:val="single"/>
                </w:rPr>
                <w:t>FINANCIAL INFORMATION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40">
              <w:r>
                <w:rPr>
                  <w:rStyle w:val="InternetLink"/>
                  <w:rFonts w:ascii="Arial;sans-serif" w:hAnsi="Arial;sans-serif"/>
                  <w:b w:val="false"/>
                  <w:color w:val="0000FF"/>
                  <w:sz w:val="18"/>
                  <w:u w:val="single"/>
                </w:rPr>
                <w:t>4</w:t>
              </w:r>
            </w:hyperlink>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43">
              <w:r>
                <w:rPr>
                  <w:rStyle w:val="InternetLink"/>
                  <w:rFonts w:ascii="Arial;sans-serif" w:hAnsi="Arial;sans-serif"/>
                  <w:b/>
                  <w:color w:val="0000FF"/>
                  <w:sz w:val="18"/>
                  <w:u w:val="single"/>
                </w:rPr>
                <w:t>ITEM 1.</w:t>
              </w:r>
            </w:hyperlink>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43">
              <w:r>
                <w:rPr>
                  <w:rStyle w:val="InternetLink"/>
                  <w:rFonts w:ascii="Arial;sans-serif" w:hAnsi="Arial;sans-serif"/>
                  <w:b/>
                  <w:color w:val="0000FF"/>
                  <w:sz w:val="18"/>
                  <w:u w:val="single"/>
                </w:rPr>
                <w:t>FINANCIAL STATEMENTS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43">
              <w:r>
                <w:rPr>
                  <w:rStyle w:val="InternetLink"/>
                  <w:rFonts w:ascii="Arial;sans-serif" w:hAnsi="Arial;sans-serif"/>
                  <w:b w:val="false"/>
                  <w:color w:val="0000FF"/>
                  <w:sz w:val="18"/>
                  <w:u w:val="single"/>
                </w:rPr>
                <w:t>4</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49">
              <w:r>
                <w:rPr>
                  <w:rStyle w:val="InternetLink"/>
                  <w:rFonts w:ascii="Arial;sans-serif" w:hAnsi="Arial;sans-serif"/>
                  <w:b/>
                  <w:color w:val="0000FF"/>
                  <w:sz w:val="18"/>
                  <w:u w:val="single"/>
                </w:rPr>
                <w:t>Constellation Energy Corporation</w:t>
              </w:r>
            </w:hyperlink>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49">
              <w:r>
                <w:rPr>
                  <w:rStyle w:val="InternetLink"/>
                  <w:rFonts w:ascii="Arial;sans-serif" w:hAnsi="Arial;sans-serif"/>
                  <w:b w:val="false"/>
                  <w:color w:val="0000FF"/>
                  <w:sz w:val="18"/>
                  <w:u w:val="single"/>
                </w:rPr>
                <w:t>Consolidated Statements of Operations and Comprehensive Income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49">
              <w:r>
                <w:rPr>
                  <w:rStyle w:val="InternetLink"/>
                  <w:rFonts w:ascii="Arial;sans-serif" w:hAnsi="Arial;sans-serif"/>
                  <w:b w:val="false"/>
                  <w:color w:val="0000FF"/>
                  <w:sz w:val="18"/>
                  <w:u w:val="single"/>
                </w:rPr>
                <w:t>5</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52">
              <w:r>
                <w:rPr>
                  <w:rStyle w:val="InternetLink"/>
                  <w:rFonts w:ascii="Arial;sans-serif" w:hAnsi="Arial;sans-serif"/>
                  <w:b w:val="false"/>
                  <w:color w:val="0000FF"/>
                  <w:sz w:val="18"/>
                  <w:u w:val="single"/>
                </w:rPr>
                <w:t>Consolidated Statements of Cash Flows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52">
              <w:r>
                <w:rPr>
                  <w:rStyle w:val="InternetLink"/>
                  <w:rFonts w:ascii="Arial;sans-serif" w:hAnsi="Arial;sans-serif"/>
                  <w:b w:val="false"/>
                  <w:color w:val="0000FF"/>
                  <w:sz w:val="18"/>
                  <w:u w:val="single"/>
                </w:rPr>
                <w:t>6</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55">
              <w:r>
                <w:rPr>
                  <w:rStyle w:val="InternetLink"/>
                  <w:rFonts w:ascii="Arial;sans-serif" w:hAnsi="Arial;sans-serif"/>
                  <w:b w:val="false"/>
                  <w:color w:val="0000FF"/>
                  <w:sz w:val="18"/>
                  <w:u w:val="single"/>
                </w:rPr>
                <w:t>Consolidated Balance Sheets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55">
              <w:r>
                <w:rPr>
                  <w:rStyle w:val="InternetLink"/>
                  <w:rFonts w:ascii="Arial;sans-serif" w:hAnsi="Arial;sans-serif"/>
                  <w:b w:val="false"/>
                  <w:color w:val="0000FF"/>
                  <w:sz w:val="18"/>
                  <w:u w:val="single"/>
                </w:rPr>
                <w:t>7</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58">
              <w:r>
                <w:rPr>
                  <w:rStyle w:val="InternetLink"/>
                  <w:rFonts w:ascii="Arial;sans-serif" w:hAnsi="Arial;sans-serif"/>
                  <w:b w:val="false"/>
                  <w:color w:val="0000FF"/>
                  <w:sz w:val="18"/>
                  <w:u w:val="single"/>
                </w:rPr>
                <w:t>Consolidated Statements of Changes in Equity</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58">
              <w:r>
                <w:rPr>
                  <w:rStyle w:val="InternetLink"/>
                  <w:rFonts w:ascii="Arial;sans-serif" w:hAnsi="Arial;sans-serif"/>
                  <w:b w:val="false"/>
                  <w:color w:val="0000FF"/>
                  <w:sz w:val="18"/>
                  <w:u w:val="single"/>
                </w:rPr>
                <w:t>8</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64">
              <w:r>
                <w:rPr>
                  <w:rStyle w:val="InternetLink"/>
                  <w:rFonts w:ascii="Arial;sans-serif" w:hAnsi="Arial;sans-serif"/>
                  <w:b/>
                  <w:color w:val="0000FF"/>
                  <w:sz w:val="18"/>
                  <w:u w:val="single"/>
                </w:rPr>
                <w:t>Constellation Energy Generation, LLC</w:t>
              </w:r>
            </w:hyperlink>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64">
              <w:r>
                <w:rPr>
                  <w:rStyle w:val="InternetLink"/>
                  <w:rFonts w:ascii="Arial;sans-serif" w:hAnsi="Arial;sans-serif"/>
                  <w:b w:val="false"/>
                  <w:color w:val="0000FF"/>
                  <w:sz w:val="18"/>
                  <w:u w:val="single"/>
                </w:rPr>
                <w:t>Consolidated Statements of Operations and Comprehensive Income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64">
              <w:r>
                <w:rPr>
                  <w:rStyle w:val="InternetLink"/>
                  <w:rFonts w:ascii="Arial;sans-serif" w:hAnsi="Arial;sans-serif"/>
                  <w:b w:val="false"/>
                  <w:color w:val="0000FF"/>
                  <w:sz w:val="18"/>
                  <w:u w:val="single"/>
                </w:rPr>
                <w:t>10</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67">
              <w:r>
                <w:rPr>
                  <w:rStyle w:val="InternetLink"/>
                  <w:rFonts w:ascii="Arial;sans-serif" w:hAnsi="Arial;sans-serif"/>
                  <w:b w:val="false"/>
                  <w:color w:val="0000FF"/>
                  <w:sz w:val="18"/>
                  <w:u w:val="single"/>
                </w:rPr>
                <w:t>Consolidated Statements of Cash Flows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67">
              <w:r>
                <w:rPr>
                  <w:rStyle w:val="InternetLink"/>
                  <w:rFonts w:ascii="Arial;sans-serif" w:hAnsi="Arial;sans-serif"/>
                  <w:b w:val="false"/>
                  <w:color w:val="0000FF"/>
                  <w:sz w:val="18"/>
                  <w:u w:val="single"/>
                </w:rPr>
                <w:t>11</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70">
              <w:r>
                <w:rPr>
                  <w:rStyle w:val="InternetLink"/>
                  <w:rFonts w:ascii="Arial;sans-serif" w:hAnsi="Arial;sans-serif"/>
                  <w:b w:val="false"/>
                  <w:color w:val="0000FF"/>
                  <w:sz w:val="18"/>
                  <w:u w:val="single"/>
                </w:rPr>
                <w:t>Consolidated Balance Sheets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70">
              <w:r>
                <w:rPr>
                  <w:rStyle w:val="InternetLink"/>
                  <w:rFonts w:ascii="Arial;sans-serif" w:hAnsi="Arial;sans-serif"/>
                  <w:b w:val="false"/>
                  <w:color w:val="0000FF"/>
                  <w:sz w:val="18"/>
                  <w:u w:val="single"/>
                </w:rPr>
                <w:t>12</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73">
              <w:r>
                <w:rPr>
                  <w:rStyle w:val="InternetLink"/>
                  <w:rFonts w:ascii="Arial;sans-serif" w:hAnsi="Arial;sans-serif"/>
                  <w:b w:val="false"/>
                  <w:color w:val="0000FF"/>
                  <w:sz w:val="18"/>
                  <w:u w:val="single"/>
                </w:rPr>
                <w:t>Consolidated Statements of Changes in Equity</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73">
              <w:r>
                <w:rPr>
                  <w:rStyle w:val="InternetLink"/>
                  <w:rFonts w:ascii="Arial;sans-serif" w:hAnsi="Arial;sans-serif"/>
                  <w:b w:val="false"/>
                  <w:color w:val="0000FF"/>
                  <w:sz w:val="18"/>
                  <w:u w:val="single"/>
                </w:rPr>
                <w:t>13</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76">
              <w:r>
                <w:rPr>
                  <w:rStyle w:val="InternetLink"/>
                  <w:rFonts w:ascii="Arial;sans-serif" w:hAnsi="Arial;sans-serif"/>
                  <w:b/>
                  <w:color w:val="0000FF"/>
                  <w:sz w:val="18"/>
                  <w:u w:val="single"/>
                </w:rPr>
                <w:t>Combined Notes to Consolidated Financial Statements</w:t>
              </w:r>
            </w:hyperlink>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79">
              <w:r>
                <w:rPr>
                  <w:rStyle w:val="InternetLink"/>
                  <w:rFonts w:ascii="Arial;sans-serif" w:hAnsi="Arial;sans-serif"/>
                  <w:b w:val="false"/>
                  <w:color w:val="0000FF"/>
                  <w:sz w:val="18"/>
                  <w:u w:val="single"/>
                </w:rPr>
                <w:t>1. Basis of Presentation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79">
              <w:r>
                <w:rPr>
                  <w:rStyle w:val="InternetLink"/>
                  <w:rFonts w:ascii="Arial;sans-serif" w:hAnsi="Arial;sans-serif"/>
                  <w:b w:val="false"/>
                  <w:color w:val="0000FF"/>
                  <w:sz w:val="18"/>
                  <w:u w:val="single"/>
                </w:rPr>
                <w:t>14</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85">
              <w:r>
                <w:rPr>
                  <w:rStyle w:val="InternetLink"/>
                  <w:rFonts w:ascii="Arial;sans-serif" w:hAnsi="Arial;sans-serif"/>
                  <w:b w:val="false"/>
                  <w:color w:val="0000FF"/>
                  <w:sz w:val="18"/>
                  <w:u w:val="single"/>
                </w:rPr>
                <w:t>2. Mergers, Acquisitions, and Dispositions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85">
              <w:r>
                <w:rPr>
                  <w:rStyle w:val="InternetLink"/>
                  <w:rFonts w:ascii="Arial;sans-serif" w:hAnsi="Arial;sans-serif"/>
                  <w:b w:val="false"/>
                  <w:color w:val="0000FF"/>
                  <w:sz w:val="18"/>
                  <w:u w:val="single"/>
                </w:rPr>
                <w:t>14</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88">
              <w:r>
                <w:rPr>
                  <w:rStyle w:val="InternetLink"/>
                  <w:rFonts w:ascii="Arial;sans-serif" w:hAnsi="Arial;sans-serif"/>
                  <w:b w:val="false"/>
                  <w:color w:val="0000FF"/>
                  <w:sz w:val="18"/>
                  <w:u w:val="single"/>
                </w:rPr>
                <w:t>3. Regulatory Matters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88">
              <w:r>
                <w:rPr>
                  <w:rStyle w:val="InternetLink"/>
                  <w:rFonts w:ascii="Arial;sans-serif" w:hAnsi="Arial;sans-serif"/>
                  <w:b w:val="false"/>
                  <w:color w:val="0000FF"/>
                  <w:sz w:val="18"/>
                  <w:u w:val="single"/>
                </w:rPr>
                <w:t>18</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91">
              <w:r>
                <w:rPr>
                  <w:rStyle w:val="InternetLink"/>
                  <w:rFonts w:ascii="Arial;sans-serif" w:hAnsi="Arial;sans-serif"/>
                  <w:b w:val="false"/>
                  <w:color w:val="0000FF"/>
                  <w:sz w:val="18"/>
                  <w:u w:val="single"/>
                </w:rPr>
                <w:t>4. Revenue from Contracts with Customers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91">
              <w:r>
                <w:rPr>
                  <w:rStyle w:val="InternetLink"/>
                  <w:rFonts w:ascii="Arial;sans-serif" w:hAnsi="Arial;sans-serif"/>
                  <w:b w:val="false"/>
                  <w:color w:val="0000FF"/>
                  <w:sz w:val="18"/>
                  <w:u w:val="single"/>
                </w:rPr>
                <w:t>19</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97">
              <w:r>
                <w:rPr>
                  <w:rStyle w:val="InternetLink"/>
                  <w:rFonts w:ascii="Arial;sans-serif" w:hAnsi="Arial;sans-serif"/>
                  <w:b w:val="false"/>
                  <w:color w:val="0000FF"/>
                  <w:sz w:val="18"/>
                  <w:u w:val="single"/>
                </w:rPr>
                <w:t>5. Segment Information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97">
              <w:r>
                <w:rPr>
                  <w:rStyle w:val="InternetLink"/>
                  <w:rFonts w:ascii="Arial;sans-serif" w:hAnsi="Arial;sans-serif"/>
                  <w:b w:val="false"/>
                  <w:color w:val="0000FF"/>
                  <w:sz w:val="18"/>
                  <w:u w:val="single"/>
                </w:rPr>
                <w:t>21</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00">
              <w:r>
                <w:rPr>
                  <w:rStyle w:val="InternetLink"/>
                  <w:rFonts w:ascii="Arial;sans-serif" w:hAnsi="Arial;sans-serif"/>
                  <w:b w:val="false"/>
                  <w:color w:val="0000FF"/>
                  <w:sz w:val="18"/>
                  <w:u w:val="single"/>
                </w:rPr>
                <w:t>6. Government Assistance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00">
              <w:r>
                <w:rPr>
                  <w:rStyle w:val="InternetLink"/>
                  <w:rFonts w:ascii="Arial;sans-serif" w:hAnsi="Arial;sans-serif"/>
                  <w:b w:val="false"/>
                  <w:color w:val="0000FF"/>
                  <w:sz w:val="18"/>
                  <w:u w:val="single"/>
                </w:rPr>
                <w:t>23</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03">
              <w:r>
                <w:rPr>
                  <w:rStyle w:val="InternetLink"/>
                  <w:rFonts w:ascii="Arial;sans-serif" w:hAnsi="Arial;sans-serif"/>
                  <w:b w:val="false"/>
                  <w:color w:val="0000FF"/>
                  <w:sz w:val="18"/>
                  <w:u w:val="single"/>
                </w:rPr>
                <w:t>7. Accounts Receivable</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03">
              <w:r>
                <w:rPr>
                  <w:rStyle w:val="InternetLink"/>
                  <w:rFonts w:ascii="Arial;sans-serif" w:hAnsi="Arial;sans-serif"/>
                  <w:b w:val="false"/>
                  <w:color w:val="0000FF"/>
                  <w:sz w:val="18"/>
                  <w:u w:val="single"/>
                </w:rPr>
                <w:t>24</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06">
              <w:r>
                <w:rPr>
                  <w:rStyle w:val="InternetLink"/>
                  <w:rFonts w:ascii="Arial;sans-serif" w:hAnsi="Arial;sans-serif"/>
                  <w:b w:val="false"/>
                  <w:color w:val="0000FF"/>
                  <w:sz w:val="18"/>
                  <w:u w:val="single"/>
                </w:rPr>
                <w:t>8. Property, Plant, and Equipment</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06">
              <w:r>
                <w:rPr>
                  <w:rStyle w:val="InternetLink"/>
                  <w:rFonts w:ascii="Arial;sans-serif" w:hAnsi="Arial;sans-serif"/>
                  <w:b w:val="false"/>
                  <w:color w:val="0000FF"/>
                  <w:sz w:val="18"/>
                  <w:u w:val="single"/>
                </w:rPr>
                <w:t>26</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12">
              <w:r>
                <w:rPr>
                  <w:rStyle w:val="InternetLink"/>
                  <w:rFonts w:ascii="Arial;sans-serif" w:hAnsi="Arial;sans-serif"/>
                  <w:b w:val="false"/>
                  <w:color w:val="0000FF"/>
                  <w:sz w:val="18"/>
                  <w:u w:val="single"/>
                </w:rPr>
                <w:t>9. Asset Retirement Obligations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12">
              <w:r>
                <w:rPr>
                  <w:rStyle w:val="InternetLink"/>
                  <w:rFonts w:ascii="Arial;sans-serif" w:hAnsi="Arial;sans-serif"/>
                  <w:b w:val="false"/>
                  <w:color w:val="0000FF"/>
                  <w:sz w:val="18"/>
                  <w:u w:val="single"/>
                </w:rPr>
                <w:t>26</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15">
              <w:r>
                <w:rPr>
                  <w:rStyle w:val="InternetLink"/>
                  <w:rFonts w:ascii="Arial;sans-serif" w:hAnsi="Arial;sans-serif"/>
                  <w:b w:val="false"/>
                  <w:color w:val="0000FF"/>
                  <w:sz w:val="18"/>
                  <w:u w:val="single"/>
                </w:rPr>
                <w:t>10. Income Taxes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15">
              <w:r>
                <w:rPr>
                  <w:rStyle w:val="InternetLink"/>
                  <w:rFonts w:ascii="Arial;sans-serif" w:hAnsi="Arial;sans-serif"/>
                  <w:b w:val="false"/>
                  <w:color w:val="0000FF"/>
                  <w:sz w:val="18"/>
                  <w:u w:val="single"/>
                </w:rPr>
                <w:t>28</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21">
              <w:r>
                <w:rPr>
                  <w:rStyle w:val="InternetLink"/>
                  <w:rFonts w:ascii="Arial;sans-serif" w:hAnsi="Arial;sans-serif"/>
                  <w:b w:val="false"/>
                  <w:color w:val="0000FF"/>
                  <w:sz w:val="18"/>
                  <w:u w:val="single"/>
                </w:rPr>
                <w:t>11. Retirement Benefits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21">
              <w:r>
                <w:rPr>
                  <w:rStyle w:val="InternetLink"/>
                  <w:rFonts w:ascii="Arial;sans-serif" w:hAnsi="Arial;sans-serif"/>
                  <w:b w:val="false"/>
                  <w:color w:val="0000FF"/>
                  <w:sz w:val="18"/>
                  <w:u w:val="single"/>
                </w:rPr>
                <w:t>30</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24">
              <w:r>
                <w:rPr>
                  <w:rStyle w:val="InternetLink"/>
                  <w:rFonts w:ascii="Arial;sans-serif" w:hAnsi="Arial;sans-serif"/>
                  <w:b w:val="false"/>
                  <w:color w:val="0000FF"/>
                  <w:sz w:val="18"/>
                  <w:u w:val="single"/>
                </w:rPr>
                <w:t>12. Derivative Financial Instruments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24">
              <w:r>
                <w:rPr>
                  <w:rStyle w:val="InternetLink"/>
                  <w:rFonts w:ascii="Arial;sans-serif" w:hAnsi="Arial;sans-serif"/>
                  <w:b w:val="false"/>
                  <w:color w:val="0000FF"/>
                  <w:sz w:val="18"/>
                  <w:u w:val="single"/>
                </w:rPr>
                <w:t>30</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27">
              <w:r>
                <w:rPr>
                  <w:rStyle w:val="InternetLink"/>
                  <w:rFonts w:ascii="Arial;sans-serif" w:hAnsi="Arial;sans-serif"/>
                  <w:b w:val="false"/>
                  <w:color w:val="0000FF"/>
                  <w:sz w:val="18"/>
                  <w:u w:val="single"/>
                </w:rPr>
                <w:t>13. Debt and Credit Agreements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27">
              <w:r>
                <w:rPr>
                  <w:rStyle w:val="InternetLink"/>
                  <w:rFonts w:ascii="Arial;sans-serif" w:hAnsi="Arial;sans-serif"/>
                  <w:b w:val="false"/>
                  <w:color w:val="0000FF"/>
                  <w:sz w:val="18"/>
                  <w:u w:val="single"/>
                </w:rPr>
                <w:t>35</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30">
              <w:r>
                <w:rPr>
                  <w:rStyle w:val="InternetLink"/>
                  <w:rFonts w:ascii="Arial;sans-serif" w:hAnsi="Arial;sans-serif"/>
                  <w:b w:val="false"/>
                  <w:color w:val="0000FF"/>
                  <w:sz w:val="18"/>
                  <w:u w:val="single"/>
                </w:rPr>
                <w:t>14. Fair Value of Financial Assets and Liabilities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30">
              <w:r>
                <w:rPr>
                  <w:rStyle w:val="InternetLink"/>
                  <w:rFonts w:ascii="Arial;sans-serif" w:hAnsi="Arial;sans-serif"/>
                  <w:b w:val="false"/>
                  <w:color w:val="0000FF"/>
                  <w:sz w:val="18"/>
                  <w:u w:val="single"/>
                </w:rPr>
                <w:t>41</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33">
              <w:r>
                <w:rPr>
                  <w:rStyle w:val="InternetLink"/>
                  <w:rFonts w:ascii="Arial;sans-serif" w:hAnsi="Arial;sans-serif"/>
                  <w:b w:val="false"/>
                  <w:color w:val="0000FF"/>
                  <w:sz w:val="18"/>
                  <w:u w:val="single"/>
                </w:rPr>
                <w:t>15. Commitments and Contingencies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33">
              <w:r>
                <w:rPr>
                  <w:rStyle w:val="InternetLink"/>
                  <w:rFonts w:ascii="Arial;sans-serif" w:hAnsi="Arial;sans-serif"/>
                  <w:b w:val="false"/>
                  <w:color w:val="0000FF"/>
                  <w:sz w:val="18"/>
                  <w:u w:val="single"/>
                </w:rPr>
                <w:t>46</w:t>
              </w:r>
            </w:hyperlink>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56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36">
              <w:r>
                <w:rPr>
                  <w:rStyle w:val="InternetLink"/>
                  <w:rFonts w:ascii="Arial;sans-serif" w:hAnsi="Arial;sans-serif"/>
                  <w:b w:val="false"/>
                  <w:color w:val="0000FF"/>
                  <w:sz w:val="18"/>
                  <w:u w:val="single"/>
                </w:rPr>
                <w:t>16. Shareholders' Equity</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36">
              <w:r>
                <w:rPr>
                  <w:rStyle w:val="InternetLink"/>
                  <w:rFonts w:ascii="Arial;sans-serif" w:hAnsi="Arial;sans-serif"/>
                  <w:b w:val="false"/>
                  <w:color w:val="0000FF"/>
                  <w:sz w:val="18"/>
                  <w:u w:val="single"/>
                </w:rPr>
                <w:t>47</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39">
              <w:r>
                <w:rPr>
                  <w:rStyle w:val="InternetLink"/>
                  <w:rFonts w:ascii="Arial;sans-serif" w:hAnsi="Arial;sans-serif"/>
                  <w:b w:val="false"/>
                  <w:color w:val="0000FF"/>
                  <w:sz w:val="18"/>
                  <w:u w:val="single"/>
                </w:rPr>
                <w:t>17. Variable Interest Entities</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39">
              <w:r>
                <w:rPr>
                  <w:rStyle w:val="InternetLink"/>
                  <w:rFonts w:ascii="Arial;sans-serif" w:hAnsi="Arial;sans-serif"/>
                  <w:b w:val="false"/>
                  <w:color w:val="0000FF"/>
                  <w:sz w:val="18"/>
                  <w:u w:val="single"/>
                </w:rPr>
                <w:t>49</w:t>
              </w:r>
            </w:hyperlink>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42">
              <w:r>
                <w:rPr>
                  <w:rStyle w:val="InternetLink"/>
                  <w:rFonts w:ascii="Arial;sans-serif" w:hAnsi="Arial;sans-serif"/>
                  <w:b w:val="false"/>
                  <w:color w:val="0000FF"/>
                  <w:sz w:val="18"/>
                  <w:u w:val="single"/>
                </w:rPr>
                <w:t>18. Supplemental Financial Information</w:t>
              </w:r>
            </w:hyperlink>
          </w:p>
        </w:tc>
        <w:tc>
          <w:tcPr>
            <w:tcW w:w="9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42">
              <w:r>
                <w:rPr>
                  <w:rStyle w:val="InternetLink"/>
                  <w:rFonts w:ascii="Arial;sans-serif" w:hAnsi="Arial;sans-serif"/>
                  <w:b w:val="false"/>
                  <w:color w:val="0000FF"/>
                  <w:sz w:val="18"/>
                  <w:u w:val="single"/>
                </w:rPr>
                <w:t>51</w:t>
              </w:r>
            </w:hyperlink>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565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4"/>
        <w:gridCol w:w="277"/>
        <w:gridCol w:w="280"/>
        <w:gridCol w:w="2985"/>
        <w:gridCol w:w="2985"/>
        <w:gridCol w:w="2991"/>
        <w:gridCol w:w="109"/>
        <w:gridCol w:w="109"/>
        <w:gridCol w:w="155"/>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85"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51">
              <w:r>
                <w:rPr>
                  <w:rStyle w:val="InternetLink"/>
                  <w:rFonts w:ascii="Arial;sans-serif" w:hAnsi="Arial;sans-serif"/>
                  <w:b/>
                  <w:color w:val="0000FF"/>
                  <w:sz w:val="18"/>
                  <w:u w:val="single"/>
                </w:rPr>
                <w:t>ITEM 2.</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51">
              <w:r>
                <w:rPr>
                  <w:rStyle w:val="InternetLink"/>
                  <w:rFonts w:ascii="Arial;sans-serif" w:hAnsi="Arial;sans-serif"/>
                  <w:b/>
                  <w:color w:val="0000FF"/>
                  <w:sz w:val="18"/>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51">
              <w:r>
                <w:rPr>
                  <w:rStyle w:val="InternetLink"/>
                  <w:rFonts w:ascii="Arial;sans-serif" w:hAnsi="Arial;sans-serif"/>
                  <w:b w:val="false"/>
                  <w:color w:val="0000FF"/>
                  <w:sz w:val="18"/>
                  <w:u w:val="single"/>
                </w:rPr>
                <w:t>54</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54">
              <w:r>
                <w:rPr>
                  <w:rStyle w:val="InternetLink"/>
                  <w:rFonts w:ascii="Arial;sans-serif" w:hAnsi="Arial;sans-serif"/>
                  <w:b w:val="false"/>
                  <w:color w:val="0000FF"/>
                  <w:sz w:val="18"/>
                  <w:u w:val="single"/>
                </w:rPr>
                <w:t>Executive Overview</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54">
              <w:r>
                <w:rPr>
                  <w:rStyle w:val="InternetLink"/>
                  <w:rFonts w:ascii="Arial;sans-serif" w:hAnsi="Arial;sans-serif"/>
                  <w:b w:val="false"/>
                  <w:color w:val="0000FF"/>
                  <w:sz w:val="18"/>
                  <w:u w:val="single"/>
                </w:rPr>
                <w:t>54</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57">
              <w:r>
                <w:rPr>
                  <w:rStyle w:val="InternetLink"/>
                  <w:rFonts w:ascii="Arial;sans-serif" w:hAnsi="Arial;sans-serif"/>
                  <w:b w:val="false"/>
                  <w:color w:val="0000FF"/>
                  <w:sz w:val="18"/>
                  <w:u w:val="single"/>
                </w:rPr>
                <w:t>Significant Transactions and Developments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57">
              <w:r>
                <w:rPr>
                  <w:rStyle w:val="InternetLink"/>
                  <w:rFonts w:ascii="Arial;sans-serif" w:hAnsi="Arial;sans-serif"/>
                  <w:b w:val="false"/>
                  <w:color w:val="0000FF"/>
                  <w:sz w:val="18"/>
                  <w:u w:val="single"/>
                </w:rPr>
                <w:t>55</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60">
              <w:r>
                <w:rPr>
                  <w:rStyle w:val="InternetLink"/>
                  <w:rFonts w:ascii="Arial;sans-serif" w:hAnsi="Arial;sans-serif"/>
                  <w:b w:val="false"/>
                  <w:color w:val="0000FF"/>
                  <w:sz w:val="18"/>
                  <w:u w:val="single"/>
                </w:rPr>
                <w:t>Other Key Business Drivers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60">
              <w:r>
                <w:rPr>
                  <w:rStyle w:val="InternetLink"/>
                  <w:rFonts w:ascii="Arial;sans-serif" w:hAnsi="Arial;sans-serif"/>
                  <w:b w:val="false"/>
                  <w:color w:val="0000FF"/>
                  <w:sz w:val="18"/>
                  <w:u w:val="single"/>
                </w:rPr>
                <w:t>56</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63">
              <w:r>
                <w:rPr>
                  <w:rStyle w:val="InternetLink"/>
                  <w:rFonts w:ascii="Arial;sans-serif" w:hAnsi="Arial;sans-serif"/>
                  <w:b w:val="false"/>
                  <w:color w:val="0000FF"/>
                  <w:sz w:val="18"/>
                  <w:u w:val="single"/>
                </w:rPr>
                <w:t>Critical Accounting Policies and Estimates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63">
              <w:r>
                <w:rPr>
                  <w:rStyle w:val="InternetLink"/>
                  <w:rFonts w:ascii="Arial;sans-serif" w:hAnsi="Arial;sans-serif"/>
                  <w:b w:val="false"/>
                  <w:color w:val="0000FF"/>
                  <w:sz w:val="18"/>
                  <w:u w:val="single"/>
                </w:rPr>
                <w:t>57</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66">
              <w:r>
                <w:rPr>
                  <w:rStyle w:val="InternetLink"/>
                  <w:rFonts w:ascii="Arial;sans-serif" w:hAnsi="Arial;sans-serif"/>
                  <w:b w:val="false"/>
                  <w:color w:val="0000FF"/>
                  <w:sz w:val="18"/>
                  <w:u w:val="single"/>
                </w:rPr>
                <w:t>Financial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66">
              <w:r>
                <w:rPr>
                  <w:rStyle w:val="InternetLink"/>
                  <w:rFonts w:ascii="Arial;sans-serif" w:hAnsi="Arial;sans-serif"/>
                  <w:b w:val="false"/>
                  <w:color w:val="0000FF"/>
                  <w:sz w:val="18"/>
                  <w:u w:val="single"/>
                </w:rPr>
                <w:t>58</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69">
              <w:r>
                <w:rPr>
                  <w:rStyle w:val="InternetLink"/>
                  <w:rFonts w:ascii="Arial;sans-serif" w:hAnsi="Arial;sans-serif"/>
                  <w:b w:val="false"/>
                  <w:color w:val="0000FF"/>
                  <w:sz w:val="18"/>
                  <w:u w:val="single"/>
                </w:rPr>
                <w:t>Liquidity and Capital Resources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69">
              <w:r>
                <w:rPr>
                  <w:rStyle w:val="InternetLink"/>
                  <w:rFonts w:ascii="Arial;sans-serif" w:hAnsi="Arial;sans-serif"/>
                  <w:b w:val="false"/>
                  <w:color w:val="0000FF"/>
                  <w:sz w:val="18"/>
                  <w:u w:val="single"/>
                </w:rPr>
                <w:t>71</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78">
              <w:r>
                <w:rPr>
                  <w:rStyle w:val="InternetLink"/>
                  <w:rFonts w:ascii="Arial;sans-serif" w:hAnsi="Arial;sans-serif"/>
                  <w:b/>
                  <w:color w:val="0000FF"/>
                  <w:sz w:val="18"/>
                  <w:u w:val="single"/>
                </w:rPr>
                <w:t>ITEM 3.</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78">
              <w:r>
                <w:rPr>
                  <w:rStyle w:val="InternetLink"/>
                  <w:rFonts w:ascii="Arial;sans-serif" w:hAnsi="Arial;sans-serif"/>
                  <w:b/>
                  <w:color w:val="0000FF"/>
                  <w:sz w:val="18"/>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78">
              <w:r>
                <w:rPr>
                  <w:rStyle w:val="InternetLink"/>
                  <w:rFonts w:ascii="Arial;sans-serif" w:hAnsi="Arial;sans-serif"/>
                  <w:b w:val="false"/>
                  <w:color w:val="0000FF"/>
                  <w:sz w:val="18"/>
                  <w:u w:val="single"/>
                </w:rPr>
                <w:t>75</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81">
              <w:r>
                <w:rPr>
                  <w:rStyle w:val="InternetLink"/>
                  <w:rFonts w:ascii="Arial;sans-serif" w:hAnsi="Arial;sans-serif"/>
                  <w:b/>
                  <w:color w:val="0000FF"/>
                  <w:sz w:val="18"/>
                  <w:u w:val="single"/>
                </w:rPr>
                <w:t>ITEM 4.</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81">
              <w:r>
                <w:rPr>
                  <w:rStyle w:val="InternetLink"/>
                  <w:rFonts w:ascii="Arial;sans-serif" w:hAnsi="Arial;sans-serif"/>
                  <w:b/>
                  <w:color w:val="0000FF"/>
                  <w:sz w:val="18"/>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81">
              <w:r>
                <w:rPr>
                  <w:rStyle w:val="InternetLink"/>
                  <w:rFonts w:ascii="Arial;sans-serif" w:hAnsi="Arial;sans-serif"/>
                  <w:b w:val="false"/>
                  <w:color w:val="0000FF"/>
                  <w:sz w:val="18"/>
                  <w:u w:val="single"/>
                </w:rPr>
                <w:t>81</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84">
              <w:r>
                <w:rPr>
                  <w:rStyle w:val="InternetLink"/>
                  <w:rFonts w:ascii="Arial;sans-serif" w:hAnsi="Arial;sans-serif"/>
                  <w:b/>
                  <w:color w:val="0000FF"/>
                  <w:sz w:val="18"/>
                  <w:u w:val="single"/>
                </w:rPr>
                <w:t>PART II</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84">
              <w:r>
                <w:rPr>
                  <w:rStyle w:val="InternetLink"/>
                  <w:rFonts w:ascii="Arial;sans-serif" w:hAnsi="Arial;sans-serif"/>
                  <w:b/>
                  <w:color w:val="0000FF"/>
                  <w:sz w:val="18"/>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84">
              <w:r>
                <w:rPr>
                  <w:rStyle w:val="InternetLink"/>
                  <w:rFonts w:ascii="Arial;sans-serif" w:hAnsi="Arial;sans-serif"/>
                  <w:b w:val="false"/>
                  <w:color w:val="0000FF"/>
                  <w:sz w:val="18"/>
                  <w:u w:val="single"/>
                </w:rPr>
                <w:t>79</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87">
              <w:r>
                <w:rPr>
                  <w:rStyle w:val="InternetLink"/>
                  <w:rFonts w:ascii="Arial;sans-serif" w:hAnsi="Arial;sans-serif"/>
                  <w:b/>
                  <w:color w:val="0000FF"/>
                  <w:sz w:val="18"/>
                  <w:u w:val="single"/>
                </w:rPr>
                <w:t>ITEM 1.</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87">
              <w:r>
                <w:rPr>
                  <w:rStyle w:val="InternetLink"/>
                  <w:rFonts w:ascii="Arial;sans-serif" w:hAnsi="Arial;sans-serif"/>
                  <w:b/>
                  <w:color w:val="0000FF"/>
                  <w:sz w:val="18"/>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87">
              <w:r>
                <w:rPr>
                  <w:rStyle w:val="InternetLink"/>
                  <w:rFonts w:ascii="Arial;sans-serif" w:hAnsi="Arial;sans-serif"/>
                  <w:b w:val="false"/>
                  <w:color w:val="0000FF"/>
                  <w:sz w:val="18"/>
                  <w:u w:val="single"/>
                </w:rPr>
                <w:t>79</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0">
              <w:r>
                <w:rPr>
                  <w:rStyle w:val="InternetLink"/>
                  <w:rFonts w:ascii="Arial;sans-serif" w:hAnsi="Arial;sans-serif"/>
                  <w:b/>
                  <w:color w:val="0000FF"/>
                  <w:sz w:val="18"/>
                  <w:u w:val="single"/>
                </w:rPr>
                <w:t>ITEM 1A.</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0">
              <w:r>
                <w:rPr>
                  <w:rStyle w:val="InternetLink"/>
                  <w:rFonts w:ascii="Arial;sans-serif" w:hAnsi="Arial;sans-serif"/>
                  <w:b/>
                  <w:color w:val="0000FF"/>
                  <w:sz w:val="18"/>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90">
              <w:r>
                <w:rPr>
                  <w:rStyle w:val="InternetLink"/>
                  <w:rFonts w:ascii="Arial;sans-serif" w:hAnsi="Arial;sans-serif"/>
                  <w:b w:val="false"/>
                  <w:color w:val="0000FF"/>
                  <w:sz w:val="18"/>
                  <w:u w:val="single"/>
                </w:rPr>
                <w:t>79</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3">
              <w:r>
                <w:rPr>
                  <w:rStyle w:val="InternetLink"/>
                  <w:rFonts w:ascii="Arial;sans-serif" w:hAnsi="Arial;sans-serif"/>
                  <w:b/>
                  <w:color w:val="0000FF"/>
                  <w:sz w:val="18"/>
                  <w:u w:val="single"/>
                </w:rPr>
                <w:t>ITEM 2.</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3">
              <w:r>
                <w:rPr>
                  <w:rStyle w:val="InternetLink"/>
                  <w:rFonts w:ascii="Arial;sans-serif" w:hAnsi="Arial;sans-serif"/>
                  <w:b/>
                  <w:color w:val="0000FF"/>
                  <w:sz w:val="18"/>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93">
              <w:r>
                <w:rPr>
                  <w:rStyle w:val="InternetLink"/>
                  <w:rFonts w:ascii="Arial;sans-serif" w:hAnsi="Arial;sans-serif"/>
                  <w:b w:val="false"/>
                  <w:color w:val="0000FF"/>
                  <w:sz w:val="18"/>
                  <w:u w:val="single"/>
                </w:rPr>
                <w:t>79</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6">
              <w:r>
                <w:rPr>
                  <w:rStyle w:val="InternetLink"/>
                  <w:rFonts w:ascii="Arial;sans-serif" w:hAnsi="Arial;sans-serif"/>
                  <w:b/>
                  <w:color w:val="0000FF"/>
                  <w:sz w:val="18"/>
                  <w:u w:val="single"/>
                </w:rPr>
                <w:t>ITEM 4.</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6">
              <w:r>
                <w:rPr>
                  <w:rStyle w:val="InternetLink"/>
                  <w:rFonts w:ascii="Arial;sans-serif" w:hAnsi="Arial;sans-serif"/>
                  <w:b/>
                  <w:color w:val="0000FF"/>
                  <w:sz w:val="18"/>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96">
              <w:r>
                <w:rPr>
                  <w:rStyle w:val="InternetLink"/>
                  <w:rFonts w:ascii="Arial;sans-serif" w:hAnsi="Arial;sans-serif"/>
                  <w:b w:val="false"/>
                  <w:color w:val="0000FF"/>
                  <w:sz w:val="18"/>
                  <w:u w:val="single"/>
                </w:rPr>
                <w:t>79</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9">
              <w:r>
                <w:rPr>
                  <w:rStyle w:val="InternetLink"/>
                  <w:rFonts w:ascii="Arial;sans-serif" w:hAnsi="Arial;sans-serif"/>
                  <w:b/>
                  <w:color w:val="0000FF"/>
                  <w:sz w:val="18"/>
                  <w:u w:val="single"/>
                </w:rPr>
                <w:t>ITEM 5.</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199">
              <w:r>
                <w:rPr>
                  <w:rStyle w:val="InternetLink"/>
                  <w:rFonts w:ascii="Arial;sans-serif" w:hAnsi="Arial;sans-serif"/>
                  <w:b/>
                  <w:color w:val="0000FF"/>
                  <w:sz w:val="18"/>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199">
              <w:r>
                <w:rPr>
                  <w:rStyle w:val="InternetLink"/>
                  <w:rFonts w:ascii="Arial;sans-serif" w:hAnsi="Arial;sans-serif"/>
                  <w:b w:val="false"/>
                  <w:color w:val="0000FF"/>
                  <w:sz w:val="18"/>
                  <w:u w:val="single"/>
                </w:rPr>
                <w:t>80</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202">
              <w:r>
                <w:rPr>
                  <w:rStyle w:val="InternetLink"/>
                  <w:rFonts w:ascii="Arial;sans-serif" w:hAnsi="Arial;sans-serif"/>
                  <w:b/>
                  <w:color w:val="0000FF"/>
                  <w:sz w:val="18"/>
                  <w:u w:val="single"/>
                </w:rPr>
                <w:t xml:space="preserve">ITEM 6. </w:t>
              </w:r>
            </w:hyperlink>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202">
              <w:r>
                <w:rPr>
                  <w:rStyle w:val="InternetLink"/>
                  <w:rFonts w:ascii="Arial;sans-serif" w:hAnsi="Arial;sans-serif"/>
                  <w:b/>
                  <w:color w:val="0000FF"/>
                  <w:sz w:val="18"/>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202">
              <w:r>
                <w:rPr>
                  <w:rStyle w:val="InternetLink"/>
                  <w:rFonts w:ascii="Arial;sans-serif" w:hAnsi="Arial;sans-serif"/>
                  <w:b w:val="false"/>
                  <w:color w:val="0000FF"/>
                  <w:sz w:val="18"/>
                  <w:u w:val="single"/>
                </w:rPr>
                <w:t>80</w:t>
              </w:r>
            </w:hyperlink>
          </w:p>
        </w:tc>
      </w:tr>
      <w:tr>
        <w:trPr/>
        <w:tc>
          <w:tcPr>
            <w:tcW w:w="98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208">
              <w:r>
                <w:rPr>
                  <w:rStyle w:val="InternetLink"/>
                  <w:rFonts w:ascii="Arial;sans-serif" w:hAnsi="Arial;sans-serif"/>
                  <w:b/>
                  <w:color w:val="0000FF"/>
                  <w:sz w:val="18"/>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208">
              <w:r>
                <w:rPr>
                  <w:rStyle w:val="InternetLink"/>
                  <w:rFonts w:ascii="Arial;sans-serif" w:hAnsi="Arial;sans-serif"/>
                  <w:b w:val="false"/>
                  <w:color w:val="0000FF"/>
                  <w:sz w:val="18"/>
                  <w:u w:val="single"/>
                </w:rPr>
                <w:t>82</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208">
              <w:r>
                <w:rPr>
                  <w:rStyle w:val="InternetLink"/>
                  <w:rFonts w:ascii="Arial;sans-serif" w:hAnsi="Arial;sans-serif"/>
                  <w:b w:val="false"/>
                  <w:color w:val="0000FF"/>
                  <w:sz w:val="18"/>
                  <w:u w:val="single"/>
                </w:rPr>
                <w:t>Constellation Energy Corporation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208">
              <w:r>
                <w:rPr>
                  <w:rStyle w:val="InternetLink"/>
                  <w:rFonts w:ascii="Arial;sans-serif" w:hAnsi="Arial;sans-serif"/>
                  <w:b w:val="false"/>
                  <w:color w:val="0000FF"/>
                  <w:sz w:val="18"/>
                  <w:u w:val="single"/>
                </w:rPr>
                <w:t>82</w:t>
              </w:r>
            </w:hyperlink>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2e2cd1fbda44c68bbdd8537ab016e5_211">
              <w:r>
                <w:rPr>
                  <w:rStyle w:val="InternetLink"/>
                  <w:rFonts w:ascii="Arial;sans-serif" w:hAnsi="Arial;sans-serif"/>
                  <w:b w:val="false"/>
                  <w:color w:val="0000FF"/>
                  <w:sz w:val="18"/>
                  <w:u w:val="single"/>
                </w:rPr>
                <w:t>Constellation Energy Generation, LLC</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e2cd1fbda44c68bbdd8537ab016e5_211">
              <w:r>
                <w:rPr>
                  <w:rStyle w:val="InternetLink"/>
                  <w:rFonts w:ascii="Arial;sans-serif" w:hAnsi="Arial;sans-serif"/>
                  <w:b w:val="false"/>
                  <w:color w:val="0000FF"/>
                  <w:sz w:val="18"/>
                  <w:u w:val="single"/>
                </w:rPr>
                <w:t>83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9116" w:type="dxa"/>
        <w:jc w:val="left"/>
        <w:tblInd w:w="0" w:type="dxa"/>
        <w:tblLayout w:type="fixed"/>
        <w:tblCellMar>
          <w:top w:w="28" w:type="dxa"/>
          <w:left w:w="28" w:type="dxa"/>
          <w:bottom w:w="28" w:type="dxa"/>
          <w:right w:w="28" w:type="dxa"/>
        </w:tblCellMar>
      </w:tblPr>
      <w:tblGrid>
        <w:gridCol w:w="567"/>
        <w:gridCol w:w="498"/>
        <w:gridCol w:w="498"/>
        <w:gridCol w:w="498"/>
        <w:gridCol w:w="498"/>
        <w:gridCol w:w="498"/>
        <w:gridCol w:w="1763"/>
        <w:gridCol w:w="1763"/>
        <w:gridCol w:w="2533"/>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r>
      <w:tr>
        <w:trPr/>
        <w:tc>
          <w:tcPr>
            <w:tcW w:w="9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GLOSSARY OF TERMS AND ABBREVIATIONS</w:t>
            </w:r>
          </w:p>
        </w:tc>
      </w:tr>
      <w:tr>
        <w:trPr/>
        <w:tc>
          <w:tcPr>
            <w:tcW w:w="91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Constellation Energy Corporation and Related Entities</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CEG Parent</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Constellation</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Constellation Energy Generation, LLC</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Registrants</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CEG Parent and Constellation, collectively</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Antelope Valley</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Antelope Valley Solar Ranch One</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Calpine</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Calpine Corporation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Calvert Cliffs</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Calvert Cliffs nuclear generating station</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CCFC</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Calpine Construction Finance Company, L.P.</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CDHI</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Calpine Development Holdings, LLC</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Continental Wind</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Continental Wind LLC</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Crane</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Crane Clean Energy Center (formerly known as Three Mile Island Unit 1)</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CRP</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Constellation Renewables Partners,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FitzPatrick</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James A. FitzPatrick nuclear generating station</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GPC</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Geysers Power Company,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Greenfield L.P.</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Greenfield Energy Centre L.P.</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LaSalle</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LaSalle nuclear generating station</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Limerick</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Limerick nuclear generating station</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NER</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NewEnergy Receivables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Nine Mile Point</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Nine Mile Point nuclear generating station</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Nova Power</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Nova Power, LLC</w:t>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Pin Oak Creek</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Pin Oak Creek Energy Center</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RPG</w:t>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Renewable Power Generation, LLC</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059"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STP</w:t>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South Texas Project nuclear generating station</w:t>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6059" w:type="dxa"/>
            <w:gridSpan w:val="3"/>
            <w:tcBorders/>
            <w:vAlign w:val="center"/>
          </w:tcPr>
          <w:p>
            <w:pPr>
              <w:pStyle w:val="TableContents"/>
              <w:bidi w:val="0"/>
              <w:spacing w:before="0" w:after="283"/>
              <w:jc w:val="left"/>
              <w:rPr>
                <w:sz w:val="4"/>
                <w:szCs w:val="4"/>
              </w:rPr>
            </w:pPr>
            <w:r>
              <w:rPr>
                <w:sz w:val="4"/>
                <w:szCs w:val="4"/>
              </w:rPr>
            </w:r>
          </w:p>
        </w:tc>
      </w:tr>
    </w:tbl>
    <w:tbl>
      <w:tblPr>
        <w:tblW w:w="9434" w:type="dxa"/>
        <w:jc w:val="left"/>
        <w:tblInd w:w="0" w:type="dxa"/>
        <w:tblLayout w:type="fixed"/>
        <w:tblCellMar>
          <w:top w:w="28" w:type="dxa"/>
          <w:left w:w="28" w:type="dxa"/>
          <w:bottom w:w="28" w:type="dxa"/>
          <w:right w:w="28" w:type="dxa"/>
        </w:tblCellMar>
      </w:tblPr>
      <w:tblGrid>
        <w:gridCol w:w="1018"/>
        <w:gridCol w:w="893"/>
        <w:gridCol w:w="893"/>
        <w:gridCol w:w="430"/>
        <w:gridCol w:w="430"/>
        <w:gridCol w:w="430"/>
        <w:gridCol w:w="1552"/>
        <w:gridCol w:w="1552"/>
        <w:gridCol w:w="2236"/>
      </w:tblGrid>
      <w:tr>
        <w:trPr/>
        <w:tc>
          <w:tcPr>
            <w:tcW w:w="101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94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GLOSSARY OF TERMS AND ABBREVIATIONS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Terms and Abbreviations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AB</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Assembly Bill</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AEP Texas</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American Electric Power Texas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AESO</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Alberta Electric Systems Operator</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AOCI</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ARC</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Cost</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ARO</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ASR</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Share Repurchase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CAISO</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California ISO</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CenterPoint</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CenterPoint Energy Houston Electric, LLC</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CMC</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Carbon Mitigation Credit</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CO2</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Carbon Dioxide</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CODM</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Operating Decision Maker</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ComEd</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Commonwealth Edison Company</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CORRA</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Canadian Overnight Repo Rate Average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CWIP</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Work In Progress</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Department of Energy</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DOJ</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Department of Justice</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EGU</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 Generating Units</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EFOF</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Equivalent Forced Outage Factor</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ERCOT</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 Reliability Council of Texas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ERISA</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Retirement Income Security Act of 1974, as amended</w:t>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534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Exchange Act</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Securities Exchange Act of 1934, as amended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033780"/>
                <wp:effectExtent l="0" t="0" r="0" b="0"/>
                <wp:wrapNone/>
                <wp:docPr id="4" name="Frame4"/>
                <a:graphic xmlns:a="http://schemas.openxmlformats.org/drawingml/2006/main">
                  <a:graphicData uri="http://schemas.microsoft.com/office/word/2010/wordprocessingShape">
                    <wps:wsp>
                      <wps:cNvSpPr txBox="1"/>
                      <wps:spPr>
                        <a:xfrm>
                          <a:off x="0" y="0"/>
                          <a:ext cx="6480175" cy="1033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0"/>
        <w:gridCol w:w="653"/>
        <w:gridCol w:w="638"/>
        <w:gridCol w:w="295"/>
        <w:gridCol w:w="295"/>
        <w:gridCol w:w="295"/>
        <w:gridCol w:w="2564"/>
        <w:gridCol w:w="1987"/>
        <w:gridCol w:w="2678"/>
      </w:tblGrid>
      <w:tr>
        <w:trPr/>
        <w:tc>
          <w:tcPr>
            <w:tcW w:w="80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GLOSSARY OF TERMS AND ABBREVIATIONS</w:t>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Terms and Abbreviations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Exelon</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Exelon Corporation</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FERC</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Energy Regulatory Commission</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Former ComEd Units</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Braidwood, Byron, Dresden, LaSalle and Quad Cities nuclear generating units</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Former PECO Units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Limerick, Peach Bottom, and Salem nuclear generating units</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FRCC</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Florida Reliability Coordinating Council</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GAAP</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Generally Accepted Accounting Principles in the United States</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GDP</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Domestic Product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Geysers Assets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Geothermal power plant assets acquired through Calpine, including steam extraction and gathering assets</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GHG</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GW</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Gigawatt</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GWh</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Gigawatt hour</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Heat Rate</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measure of the amount of fuel required to produce a unit of power</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ICE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Intercontinental Exchange</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IPA</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Illinois Power Agency</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IRA</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Inflation Reduction Act of 2022</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IRS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Internal Revenue Service</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ISO</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Independent System Operator</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ISO-NE</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ISO New England Inc.</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ITC</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Tax Credit</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MISO</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Midcontinent Independent System Operator, Inc.</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MMBtu</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Million British thermal units</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Moody's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Moody’s Investors Service, Inc.</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MW</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Megawatt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MWh</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Megawatt hour</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NASDAQ</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Nasdaq Stock Market, LLC</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NAV</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 Value</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NDT</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NERC</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American Electric Reliability Corporation</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NGX</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Exchange, Inc.</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Non-Regulatory Agreement Units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generating units or portions thereof whose decommissioning-related activities are not subject to contractual elimination under regulatory accounting</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NOx</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Nitrogen oxide</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NPNS</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Normal Purchase Normal Sale scope exception</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NRC</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Regulatory Commission</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NYISO</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ISO</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NYMEX</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 Mercantile Exchange</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OCI</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OIESO</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Ontario Independent Electricity System Operator</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OPEB</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Postretirement Employee Benefits</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PECO</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PECO Energy Company</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Pension Protection Act</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Protection Act of 2006</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PG&amp;E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Pacific Gas and Electric Company</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PJM</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PJM Interconnection, LLC</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PPA</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Power Purchase Agreement</w:t>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PP&amp;E</w:t>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33780"/>
                <wp:effectExtent l="0" t="0" r="0" b="0"/>
                <wp:wrapNone/>
                <wp:docPr id="5" name="Frame5"/>
                <a:graphic xmlns:a="http://schemas.openxmlformats.org/drawingml/2006/main">
                  <a:graphicData uri="http://schemas.microsoft.com/office/word/2010/wordprocessingShape">
                    <wps:wsp>
                      <wps:cNvSpPr txBox="1"/>
                      <wps:spPr>
                        <a:xfrm>
                          <a:off x="0" y="0"/>
                          <a:ext cx="6480175" cy="1033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68"/>
        <w:gridCol w:w="586"/>
        <w:gridCol w:w="567"/>
        <w:gridCol w:w="260"/>
        <w:gridCol w:w="260"/>
        <w:gridCol w:w="260"/>
        <w:gridCol w:w="2490"/>
        <w:gridCol w:w="2093"/>
        <w:gridCol w:w="3021"/>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GLOSSARY OF TERMS AND ABBREVIATIONS</w:t>
            </w:r>
          </w:p>
        </w:tc>
      </w:tr>
      <w:tr>
        <w:trPr/>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Other Terms and Abbreviations</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PSDAR</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Post-shutdown Decommissioning Activities Report</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PSEG</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 Service Enterprise Group Incorporated</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PTC</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 Tax Credit</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Regulatory Agreement Units</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Nuclear generating units or portions thereof whose decommissioning-related activities are subject to contractual elimination under regulatory accounting (includes the Former ComEd Units, the Former PECO Units and STP)</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RNF</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 Net of Purchased Power and Fuel Expense</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RPM</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Reliability Pricing Model </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RTO</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Regional Transmission Organization</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S&amp;P</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S&amp;P Global Ratings, a Standard &amp; Poor’s Financial Services LLC business</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SB</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Senate Bill</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SEC</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 Securities and Exchange Commission</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SERC</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SERC Reliability Corporation (formerly Southeast Electric Reliability Council)</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SNF</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Spent Nuclear Fuel</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SO</w:t>
            </w:r>
            <w:r>
              <w:rPr>
                <w:rFonts w:ascii="Arial;sans-serif" w:hAnsi="Arial;sans-serif"/>
                <w:b w:val="false"/>
                <w:i/>
                <w:color w:val="000000"/>
                <w:sz w:val="12"/>
              </w:rPr>
              <w:t>2</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Sulfur dioxide</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SOFR</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Secured Overnight Financing Rate</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SPP</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 Power Pool</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STPNOC</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STP Nuclear Operating Company</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TMA</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Matters Agreement</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TWh</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Terawatt-hour</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U.S. Treasury</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Department of the Treasury</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UEC</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Energy Contract</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VIE</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Interest Entity</w:t>
            </w:r>
          </w:p>
        </w:tc>
      </w:tr>
      <w:tr>
        <w:trPr/>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WECC</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Western Electric Coordinating Council</w:t>
            </w:r>
          </w:p>
        </w:tc>
      </w:tr>
      <w:tr>
        <w:trPr/>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ZEC</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Zero Emission Credit</w:t>
            </w:r>
          </w:p>
        </w:tc>
      </w:tr>
      <w:tr>
        <w:trPr/>
        <w:tc>
          <w:tcPr>
            <w:tcW w:w="1821"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33780"/>
                <wp:effectExtent l="0" t="0" r="0" b="0"/>
                <wp:wrapNone/>
                <wp:docPr id="6" name="Frame6"/>
                <a:graphic xmlns:a="http://schemas.openxmlformats.org/drawingml/2006/main">
                  <a:graphicData uri="http://schemas.microsoft.com/office/word/2010/wordprocessingShape">
                    <wps:wsp>
                      <wps:cNvSpPr txBox="1"/>
                      <wps:spPr>
                        <a:xfrm>
                          <a:off x="0" y="0"/>
                          <a:ext cx="6480175" cy="103378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FILING FORMAT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This combined Form 10-Q is being filed separately by Constellation Energy Corporation and Constellation Energy Generation, LLC, (the Registrants). Information contained herein relating to any individual Registrant is filed by the Registrant on its own behalf. Neither Registrant makes any representation as to information relating to the other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CAUTIONARY STATEMENTS REGARDING FORWARD-LOOKING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us include those factors discussed herein, as well as the items discussed in (1) the Registrants' combined 2025 Annual Report on Form 10-K in (a) Part I, ITEM 1A. Risk Factors, (b) Part II, ITEM 7. Management’s Discussion and Analysis of Financial Condition and Results of Operations, and (c) Part II, ITEM 8. Financial Statements and Supplementary Data: Note 18 — Commitments and Contingencies; (2) this Quarterly Report on Form 10-Q in (a) Part II, ITEM 1A. Risk Factors, (b) Part I, ITEM 2. Management’s Discussion and Analysis of Financial Condition and Results of Operations, and (c) Part I, ITEM 1. Financial Statements: Note 15 — Commitments and Contingencies; and (3) other factors discussed in filings with the SEC by the Registrants.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Readers are cautioned not to place undue reliance on these forward-looking statements, which apply only as of the date of this report. Neither Registrant undertakes any obligation to publicly release any revision to its forward-looking statements to reflect events or circumstances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AVAILABLE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SEC maintains an Internet site at www.sec.gov that contains reports, proxy and information statements, and other information that we file electronically with the SEC. We file our Annual Report on Form 10-K, Quarterly Reports on Form 10-Q, Current Reports on Form 8-K, and all amendments to those reports with the SEC. In addition, as soon as reasonably practicable after such materials are furnished to the SEC, we make copies of these documents available to the public free of charge through our website at www.ConstellationEnergy.com. Information contained on our website shall not be deemed incorporated into, or to be a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58" w:type="dxa"/>
        <w:jc w:val="left"/>
        <w:tblInd w:w="0" w:type="dxa"/>
        <w:tblLayout w:type="fixed"/>
        <w:tblCellMar>
          <w:top w:w="28" w:type="dxa"/>
          <w:left w:w="28" w:type="dxa"/>
          <w:bottom w:w="28" w:type="dxa"/>
          <w:right w:w="28" w:type="dxa"/>
        </w:tblCellMar>
      </w:tblPr>
      <w:tblGrid>
        <w:gridCol w:w="529"/>
        <w:gridCol w:w="465"/>
        <w:gridCol w:w="465"/>
        <w:gridCol w:w="465"/>
        <w:gridCol w:w="465"/>
        <w:gridCol w:w="669"/>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30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Corporation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Operations and Comprehensive Income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016"/>
        <w:gridCol w:w="1765"/>
        <w:gridCol w:w="1773"/>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2016"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 except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 and fuel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and maintenance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Gain (loss) on sales of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income and (deductions)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and (deductions)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in income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 of income taxes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plans: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benefit reclassified to periodic benefit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 reclassified to periodic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plan valuation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foreign currency translation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noncontrolling interests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Average shares of common stock outstanding: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Assumed exercise and/or distributions of stock-based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average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16000"/>
                <wp:effectExtent l="0" t="0" r="0" b="0"/>
                <wp:wrapNone/>
                <wp:docPr id="7" name="Frame7"/>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Corporation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653" w:type="dxa"/>
        <w:jc w:val="center"/>
        <w:tblInd w:w="0" w:type="dxa"/>
        <w:tblLayout w:type="fixed"/>
        <w:tblCellMar>
          <w:top w:w="28" w:type="dxa"/>
          <w:left w:w="28" w:type="dxa"/>
          <w:bottom w:w="28" w:type="dxa"/>
          <w:right w:w="28" w:type="dxa"/>
        </w:tblCellMar>
      </w:tblPr>
      <w:tblGrid>
        <w:gridCol w:w="2708"/>
        <w:gridCol w:w="2368"/>
        <w:gridCol w:w="2393"/>
        <w:gridCol w:w="196"/>
        <w:gridCol w:w="646"/>
        <w:gridCol w:w="109"/>
        <w:gridCol w:w="109"/>
        <w:gridCol w:w="109"/>
        <w:gridCol w:w="109"/>
        <w:gridCol w:w="196"/>
        <w:gridCol w:w="556"/>
        <w:gridCol w:w="154"/>
      </w:tblGrid>
      <w:tr>
        <w:trPr/>
        <w:tc>
          <w:tcPr>
            <w:tcW w:w="270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flows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including nuclear fuel and contract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and amortization of ITCs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fair value changes related to derivatives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and unrealized (gains) losses on NDT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and unrealized (gains) losses on equity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operating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premiums received (paid),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contributions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 and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NDT fund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NDT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Calpine, net of cash and restricted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provided by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short-term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 with maturities greater than 90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short-term borrowings with maturities greater than 90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 on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restricted cash, and cash equivalents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restricted 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issued for acquisition of Calpine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Exchange of Calpine senior notes for Constellation senior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PP&amp;E related to ARO update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16000"/>
                <wp:effectExtent l="0" t="0" r="0" b="0"/>
                <wp:wrapNone/>
                <wp:docPr id="8" name="Frame8"/>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Corporation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53"/>
        <w:gridCol w:w="2375"/>
        <w:gridCol w:w="2379"/>
        <w:gridCol w:w="202"/>
        <w:gridCol w:w="666"/>
        <w:gridCol w:w="112"/>
        <w:gridCol w:w="109"/>
        <w:gridCol w:w="109"/>
        <w:gridCol w:w="109"/>
        <w:gridCol w:w="253"/>
        <w:gridCol w:w="835"/>
        <w:gridCol w:w="203"/>
      </w:tblGrid>
      <w:tr>
        <w:trPr/>
        <w:tc>
          <w:tcPr>
            <w:tcW w:w="285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Renewable energy credits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18,965 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Property, plant, and equipment (net of accumulated depreciation and amortization of $19,589 and $19,072, respectively)</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22,474 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debits and other assets</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debits and other assets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assets</w:t>
            </w:r>
            <w:r>
              <w:rPr>
                <w:rFonts w:ascii="Arial;sans-serif" w:hAnsi="Arial;sans-serif"/>
                <w:b/>
                <w:color w:val="000000"/>
                <w:sz w:val="10"/>
              </w:rPr>
              <w:t>(a)</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57,249 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EQUITY</w:t>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borrowings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Renewable energy credit obligation</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credits and other liabilities</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and unamortized ITCs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obligations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Payables related to Regulatory Agreement Units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credits and other liabilities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liabilities</w:t>
            </w:r>
            <w:r>
              <w:rPr>
                <w:rFonts w:ascii="Arial;sans-serif" w:hAnsi="Arial;sans-serif"/>
                <w:b w:val="false"/>
                <w:color w:val="000000"/>
                <w:sz w:val="10"/>
              </w:rPr>
              <w:t>(a)</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65,931 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42,396 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Commitments and contingencies (Note 15)</w:t>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(No par value, 1,000 shares authorized, 355 and 312 shares outstanding, respectively)</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(deficit)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 net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shareholders'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98,253 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57,249 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(a)Our consolidated assets include $4,197 million and $4,551 million at June 30, 2026 and December 31, 2025, respectively, of certain VIEs that can only be used to settle the liabilities of the VIE. Our consolidated liabilities include $1,287 million and $914 million at June 30, 2026 and December 31, 2025, respectively, of certain VIEs for which the VIE creditors do not have recourse to us. See Note 17 — Variable Interest Entities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16000"/>
                <wp:effectExtent l="0" t="0" r="0" b="0"/>
                <wp:wrapNone/>
                <wp:docPr id="9" name="Frame9"/>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Corporation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12"/>
        <w:gridCol w:w="464"/>
        <w:gridCol w:w="466"/>
        <w:gridCol w:w="368"/>
        <w:gridCol w:w="368"/>
        <w:gridCol w:w="216"/>
        <w:gridCol w:w="109"/>
        <w:gridCol w:w="109"/>
        <w:gridCol w:w="109"/>
        <w:gridCol w:w="200"/>
        <w:gridCol w:w="661"/>
        <w:gridCol w:w="111"/>
        <w:gridCol w:w="109"/>
        <w:gridCol w:w="109"/>
        <w:gridCol w:w="109"/>
        <w:gridCol w:w="239"/>
        <w:gridCol w:w="680"/>
        <w:gridCol w:w="133"/>
        <w:gridCol w:w="109"/>
        <w:gridCol w:w="109"/>
        <w:gridCol w:w="109"/>
        <w:gridCol w:w="355"/>
        <w:gridCol w:w="1037"/>
        <w:gridCol w:w="199"/>
        <w:gridCol w:w="109"/>
        <w:gridCol w:w="109"/>
        <w:gridCol w:w="109"/>
        <w:gridCol w:w="311"/>
        <w:gridCol w:w="670"/>
        <w:gridCol w:w="175"/>
        <w:gridCol w:w="109"/>
        <w:gridCol w:w="109"/>
        <w:gridCol w:w="109"/>
        <w:gridCol w:w="196"/>
        <w:gridCol w:w="646"/>
        <w:gridCol w:w="163"/>
      </w:tblGrid>
      <w:tr>
        <w:trPr/>
        <w:tc>
          <w:tcPr>
            <w:tcW w:w="91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 shares in thousands)</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Issued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Accumulated Other Comprehensive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312,355 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incentive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($0.4265/common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issued to acquire Calpine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362,359 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incentive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($0.4265/common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355,302 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26,683 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32,322 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16000"/>
                <wp:effectExtent l="0" t="0" r="0" b="0"/>
                <wp:wrapNone/>
                <wp:docPr id="10" name="Frame10"/>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Constellation Energy Corporation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Equity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12"/>
        <w:gridCol w:w="464"/>
        <w:gridCol w:w="466"/>
        <w:gridCol w:w="368"/>
        <w:gridCol w:w="368"/>
        <w:gridCol w:w="216"/>
        <w:gridCol w:w="109"/>
        <w:gridCol w:w="109"/>
        <w:gridCol w:w="109"/>
        <w:gridCol w:w="200"/>
        <w:gridCol w:w="661"/>
        <w:gridCol w:w="111"/>
        <w:gridCol w:w="109"/>
        <w:gridCol w:w="109"/>
        <w:gridCol w:w="109"/>
        <w:gridCol w:w="239"/>
        <w:gridCol w:w="680"/>
        <w:gridCol w:w="133"/>
        <w:gridCol w:w="109"/>
        <w:gridCol w:w="109"/>
        <w:gridCol w:w="109"/>
        <w:gridCol w:w="355"/>
        <w:gridCol w:w="1037"/>
        <w:gridCol w:w="199"/>
        <w:gridCol w:w="109"/>
        <w:gridCol w:w="109"/>
        <w:gridCol w:w="109"/>
        <w:gridCol w:w="311"/>
        <w:gridCol w:w="670"/>
        <w:gridCol w:w="175"/>
        <w:gridCol w:w="109"/>
        <w:gridCol w:w="109"/>
        <w:gridCol w:w="109"/>
        <w:gridCol w:w="196"/>
        <w:gridCol w:w="646"/>
        <w:gridCol w:w="163"/>
      </w:tblGrid>
      <w:tr>
        <w:trPr/>
        <w:tc>
          <w:tcPr>
            <w:tcW w:w="91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 shares in thousands)</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Issued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Retained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Other Comprehensive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312,838 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(2,302)</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incentive plans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($0.3878/common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Capped call option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313,385 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incentive plans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dividends ($0.3878/common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Capped call option contracts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312,403 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10,939 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42"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016000"/>
                <wp:effectExtent l="0" t="0" r="0" b="0"/>
                <wp:wrapNone/>
                <wp:docPr id="11" name="Frame11"/>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Generation, LLC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Operations and Comprehensive Income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013"/>
        <w:gridCol w:w="1754"/>
        <w:gridCol w:w="1786"/>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6"/>
      </w:tblGrid>
      <w:tr>
        <w:trPr/>
        <w:tc>
          <w:tcPr>
            <w:tcW w:w="201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5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power and fuel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and maintenance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Gain (loss) on sales of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Other income and (deductions) </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and (deductions)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 in income (losses) of unconsolidated affiliates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membership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net of income taxes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 net of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plans: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benefit reclassified to periodic benefit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loss reclassified to periodic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plan valuation adjustment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cash flow hedges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foreign currency translation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noncontrolling interests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membership interest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64185"/>
                <wp:effectExtent l="0" t="0" r="0" b="0"/>
                <wp:wrapNone/>
                <wp:docPr id="12" name="Frame12"/>
                <a:graphic xmlns:a="http://schemas.openxmlformats.org/drawingml/2006/main">
                  <a:graphicData uri="http://schemas.microsoft.com/office/word/2010/wordprocessingShape">
                    <wps:wsp>
                      <wps:cNvSpPr txBox="1"/>
                      <wps:spPr>
                        <a:xfrm>
                          <a:off x="0" y="0"/>
                          <a:ext cx="6480175" cy="46418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Generation, LLC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653" w:type="dxa"/>
        <w:jc w:val="center"/>
        <w:tblInd w:w="0" w:type="dxa"/>
        <w:tblLayout w:type="fixed"/>
        <w:tblCellMar>
          <w:top w:w="28" w:type="dxa"/>
          <w:left w:w="28" w:type="dxa"/>
          <w:bottom w:w="28" w:type="dxa"/>
          <w:right w:w="28" w:type="dxa"/>
        </w:tblCellMar>
      </w:tblPr>
      <w:tblGrid>
        <w:gridCol w:w="2708"/>
        <w:gridCol w:w="2368"/>
        <w:gridCol w:w="2393"/>
        <w:gridCol w:w="196"/>
        <w:gridCol w:w="646"/>
        <w:gridCol w:w="109"/>
        <w:gridCol w:w="109"/>
        <w:gridCol w:w="109"/>
        <w:gridCol w:w="109"/>
        <w:gridCol w:w="196"/>
        <w:gridCol w:w="556"/>
        <w:gridCol w:w="154"/>
      </w:tblGrid>
      <w:tr>
        <w:trPr/>
        <w:tc>
          <w:tcPr>
            <w:tcW w:w="270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flows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including nuclear fuel and contract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and amortization of ITCs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fair value changes related to derivatives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and unrealized (gains) losses on NDT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and unrealized (gains) losses on equity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operating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from and payables to affiliates,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Option premiums received (paid),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contributions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provided by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NDT fund sales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NDT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Calpine, net of cash and restricted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provided by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short-term borrowings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short-term borrowings with maturities greater than 90 days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short-term borrowings with maturities greater than 90 days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member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member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financing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provided by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Increase (decrease) in cash, restricted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restricted cash, and cash equivalents at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restricted 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Supplemental disclosure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Calpine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of Calpine senior notes for Constellation senior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 PP&amp;E related to ARO update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016000"/>
                <wp:effectExtent l="0" t="0" r="0" b="0"/>
                <wp:wrapNone/>
                <wp:docPr id="13" name="Frame13"/>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Generation, LLC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53"/>
        <w:gridCol w:w="2375"/>
        <w:gridCol w:w="2379"/>
        <w:gridCol w:w="202"/>
        <w:gridCol w:w="666"/>
        <w:gridCol w:w="112"/>
        <w:gridCol w:w="109"/>
        <w:gridCol w:w="109"/>
        <w:gridCol w:w="109"/>
        <w:gridCol w:w="253"/>
        <w:gridCol w:w="835"/>
        <w:gridCol w:w="203"/>
      </w:tblGrid>
      <w:tr>
        <w:trPr/>
        <w:tc>
          <w:tcPr>
            <w:tcW w:w="2853"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76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 net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Renewable energy credits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held for sale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18,912 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Property, plant, and equipment (net of accumulated depreciation and amortization of $19,589 and $19,072, respectively)</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41,228 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22,474 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debits and other assets</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debits and other assets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38,053 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 assets</w:t>
            </w:r>
            <w:r>
              <w:rPr>
                <w:rFonts w:ascii="Arial;sans-serif" w:hAnsi="Arial;sans-serif"/>
                <w:b/>
                <w:color w:val="000000"/>
                <w:sz w:val="10"/>
              </w:rPr>
              <w:t>(a)</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57,198 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EQUITY</w:t>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borrowings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expenses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Payables to affiliates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Renewable energy credit obligation</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credits and other liabilities</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and unamortized ITCs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13,193 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non-pension postretirement benefit obligations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Payables related to Regulatory Agreement Units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credits and other liabilities</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27,045 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liabilities</w:t>
            </w:r>
            <w:r>
              <w:rPr>
                <w:rFonts w:ascii="Arial;sans-serif" w:hAnsi="Arial;sans-serif"/>
                <w:b w:val="false"/>
                <w:color w:val="000000"/>
                <w:sz w:val="10"/>
              </w:rPr>
              <w:t>(a)</w:t>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42,335 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Commitments and contingencies (Note 15)</w:t>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Member’s equity</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Membership interest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Undistributed earnings (deficit)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 net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member’s equity</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32,286 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98,193 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57,198 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(a)Our consolidated assets include $4,197 million and $4,551 million as of June 30, 2026 and December 31, 2025, respectively, of certain VIEs that can only be used to settle the liabilities of the VIE. Our consolidated liabilities include $1,287 million and $914 million as of June 30, 2026 and December 31, 2025, respectively, of certain VIEs for which the VIE creditors do not have recourse to us. See Note 17 — Variable Interest Entities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016000"/>
                <wp:effectExtent l="0" t="0" r="0" b="0"/>
                <wp:wrapNone/>
                <wp:docPr id="14" name="Frame14"/>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Constellation Energy Generation, LLC and Subsidiary Companies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Equity</w:t>
        <w:br/>
        <w:t>(Unaudited)</w:t>
      </w:r>
    </w:p>
    <w:tbl>
      <w:tblPr>
        <w:tblW w:w="10205" w:type="dxa"/>
        <w:jc w:val="center"/>
        <w:tblInd w:w="0" w:type="dxa"/>
        <w:tblLayout w:type="fixed"/>
        <w:tblCellMar>
          <w:top w:w="28" w:type="dxa"/>
          <w:left w:w="28" w:type="dxa"/>
          <w:bottom w:w="28" w:type="dxa"/>
          <w:right w:w="28" w:type="dxa"/>
        </w:tblCellMar>
      </w:tblPr>
      <w:tblGrid>
        <w:gridCol w:w="1034"/>
        <w:gridCol w:w="627"/>
        <w:gridCol w:w="596"/>
        <w:gridCol w:w="228"/>
        <w:gridCol w:w="754"/>
        <w:gridCol w:w="127"/>
        <w:gridCol w:w="109"/>
        <w:gridCol w:w="109"/>
        <w:gridCol w:w="109"/>
        <w:gridCol w:w="307"/>
        <w:gridCol w:w="873"/>
        <w:gridCol w:w="173"/>
        <w:gridCol w:w="109"/>
        <w:gridCol w:w="109"/>
        <w:gridCol w:w="109"/>
        <w:gridCol w:w="432"/>
        <w:gridCol w:w="1262"/>
        <w:gridCol w:w="242"/>
        <w:gridCol w:w="109"/>
        <w:gridCol w:w="109"/>
        <w:gridCol w:w="109"/>
        <w:gridCol w:w="334"/>
        <w:gridCol w:w="719"/>
        <w:gridCol w:w="188"/>
        <w:gridCol w:w="109"/>
        <w:gridCol w:w="109"/>
        <w:gridCol w:w="109"/>
        <w:gridCol w:w="196"/>
        <w:gridCol w:w="646"/>
        <w:gridCol w:w="159"/>
      </w:tblGrid>
      <w:tr>
        <w:trPr/>
        <w:tc>
          <w:tcPr>
            <w:tcW w:w="103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Member's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Membership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Undistributed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Other Comprehensive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2025</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member</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 from member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of Calpine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 from member</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member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of noncontrolling interests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2026</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25,737 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(2,398)</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32,286 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34"/>
        <w:gridCol w:w="627"/>
        <w:gridCol w:w="596"/>
        <w:gridCol w:w="228"/>
        <w:gridCol w:w="754"/>
        <w:gridCol w:w="127"/>
        <w:gridCol w:w="109"/>
        <w:gridCol w:w="109"/>
        <w:gridCol w:w="109"/>
        <w:gridCol w:w="307"/>
        <w:gridCol w:w="873"/>
        <w:gridCol w:w="173"/>
        <w:gridCol w:w="109"/>
        <w:gridCol w:w="109"/>
        <w:gridCol w:w="109"/>
        <w:gridCol w:w="432"/>
        <w:gridCol w:w="1262"/>
        <w:gridCol w:w="242"/>
        <w:gridCol w:w="109"/>
        <w:gridCol w:w="109"/>
        <w:gridCol w:w="109"/>
        <w:gridCol w:w="334"/>
        <w:gridCol w:w="719"/>
        <w:gridCol w:w="188"/>
        <w:gridCol w:w="109"/>
        <w:gridCol w:w="109"/>
        <w:gridCol w:w="109"/>
        <w:gridCol w:w="196"/>
        <w:gridCol w:w="646"/>
        <w:gridCol w:w="159"/>
      </w:tblGrid>
      <w:tr>
        <w:trPr/>
        <w:tc>
          <w:tcPr>
            <w:tcW w:w="103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Member's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Membership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Undistributed 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Accumulated Other Comprehensive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Equity</w:t>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December 31, 2024</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(2,302)</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member</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March 31, 2025</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(2,309)</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equity of noncontrolling interests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 from member</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member</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 net of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June 30, 2025</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(2,272)</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13,864 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25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016000"/>
                <wp:effectExtent l="0" t="0" r="0" b="0"/>
                <wp:wrapNone/>
                <wp:docPr id="15" name="Frame15"/>
                <a:graphic xmlns:a="http://schemas.openxmlformats.org/drawingml/2006/main">
                  <a:graphicData uri="http://schemas.microsoft.com/office/word/2010/wordprocessingShape">
                    <wps:wsp>
                      <wps:cNvSpPr txBox="1"/>
                      <wps:spPr>
                        <a:xfrm>
                          <a:off x="0" y="0"/>
                          <a:ext cx="6480175" cy="101600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See the Combined Notes to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 xml:space="preserve">1. Basis of Presentation </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Description of Business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the nation's largest producer of clean and reliable energy and a leading supplier of energy products and services. Our fleet of generation assets includes nuclear, natural gas, oil, hydroelectric, geothermal, wind, and solar facilities. Through our integrated business operations, we sell electricity, natural gas, and other energy-related products and sustainable solutions to various types of customers, including distribution utilities, municipalities, cooperatives, and commercial, industrial, public sector, and residential customers in markets across multiple geographic regions. We have six reportable segments: Mid-Atlantic, Midwest, New York, ERCOT, Other Power Regions, and Calpine.</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Basis of Presentation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accompanying Consolidated Financial Statements as of June 30, 2026 and for the three and six months ended June 30, 2026 and 2025 are unaudited but, in our opinion, include all adjustments that are considered necessary for a fair statement of the results for the periods reported herein in accordance with GAAP. All adjustments are of a normal, recurring nature, unless otherwise disclosed. The Consolidated Financial Statements include the accounts of our subsidiaries and all intercompany transactions have been eliminated in consolidation. Our December 31, 2025 Consolidated Balance Sheet was derived from audited financial statements. The interim financial statements are to be read in conjunction with prior annual financial statements and notes. Financial results for interim periods are not necessarily indicative of results that may be expected for any other interim period or for the fiscal year ending December 31, 2026. These Combined Notes to Consolidated Financial Statements have been prepared pursuant to the rules and regulations of the SEC for Quarterly Reports on Form 10-Q. Certain information and note disclosures normally included in financial statements prepared in accordance with GAAP have been condensed or omitted pursuant to such rules and regulations. Certain prior period amounts have been reclassified to conform to the presentation in the current period. Amounts disclosed relate to CEG Parent and Constellation unless specifically noted as relating to CEG Parent only. Unless otherwise indicated or the context otherwise requires, references herein to the terms “we,” “us,” and “our” refer collectively to CEG Parent and Constellation.</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Summary of Significant Accounting Policies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See Note 1 — Basis of Presentation of our 2025 Form 10-K for additional information on significant accounting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2. Mergers, Acquisitions, and Dispositions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Acquisition of Calpine Corporation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On January 7, 2026 (the “Acquisition Date”), we acquired all of the outstanding equity interests in Calpine in a cash and stock transaction. Pursuant to the Merger Agreement and related transaction steps, Calpine was converted into a limited liability company, Calpine LLC, and became a wholly owned subsidiary of Constellation.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This acquisition is complementary to, and aligns strategically with, our existing business operations and provides both increased scale and meaningful market diversification. The merger couples the largest producer of clean, emissions-free energy in the United States with the reliable, dispatchable natural gas assets of Calpine, and also creates the nation’s leading competitive retail electric supplier, providing increased scale, diversification and complementary capabilities that enable us to meet growing demand with a broad array of energy and sustainability products. The addition of Calpine strengthens our essential role in providing clean, reliable energy as the nation seeks to transition to a more sustainable future, and will improve our position to pursue investments in new and existing technologies to meet growing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83260"/>
                <wp:effectExtent l="0" t="0" r="0" b="0"/>
                <wp:wrapNone/>
                <wp:docPr id="16" name="Frame1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2 — Mergers, Acquisitions, and Dispositions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merger consideration consisted of 50 million newly issued shares of our common stock, no par value, and approximately $4.5 billion in cash. In connection with the merger, certain of the newly issued shares are subject to a lock-up period, with 50% of the shares released on June 30, 2026, and the remaining 50% scheduled for release on June 30, 2027. In June 2026, the lock-up restrictions were waived for 11 million of these shares to permit their sale in an underwritten secondary public offering, which included two million shares that were repurchased by the Company. We did not sell any shares or receive any proceeds from the offering.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Calpine operates a competitive retail electric supplier platform serving approximately 62 TWhs of load annually. Calpine also owns and operates a generation fleet of natural gas, oil, geothermal, battery storage, and solar assets with approximately 23 GWs of generation capacity, after considering divestitures required by certain regulatory approvals for the transaction. The final regulatory clearance for the merger was the DOJ resolution, which requires the divestiture of five generating assets located in PJM, one in ERCOT, and Calpine's minority interest in the Gregory Power Plant, also in ERCOT. The DOJ resolution requires us to enter into definitive agreement(s) to divest these assets within 240 days of closing the acquisition, by September 4, 2026.</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transaction was accounted for as a business combination using the acquisition method of accounting where we are considered the acquirer for accounting purposes. We recognized the identifiable assets acquired and liabilities assumed at their estimated fair values as of January 7, 2026, with any excess of the consideration transferred over the fair value of net identifiable assets recognized as goodwill.</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January 2026, we completed the divestiture of Calpine's minority ownership interest in the Gregory Power Plant, as required under the terms of the DOJ resolution. In March 2026, we entered into an agreement with LS Power Equity Advisors, LLC (LS Power) whereby we will sell five generation assets in PJM to LS Power, which comprise approximately 4.4 GW of predominantly natural gas-fired generation capacity located in Delaware and Pennsylvania, for aggregate consideration of $5.0 billion before closing adjustments. In August 2026, we entered into an agreement with LS Power to divest the Brazos Valley Energy Center (f/k/a Jack A. Fusco Energy Center), a 606 MW natural gas-fired plant in ERCOT for $860 million before closing adjustments, which is the last asset sale required to satisfy our regulatory commitments under the acquisition. Closing of these sales is subject to receipt of applicable regulatory approvals and other customary closing conditions. We expect the transactions to close by the end of this year. The Brazos Valley Energy Center is currently secured under a project financing arrangement, see Note 13 — Debt and Credit Agreements for additional information.</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Consideration Transferred</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summarizes the components of the total merger consideration transferred. There was no contingent consideration associated with the acquisition.</w:t>
      </w:r>
    </w:p>
    <w:tbl>
      <w:tblPr>
        <w:tblW w:w="8961" w:type="dxa"/>
        <w:jc w:val="left"/>
        <w:tblInd w:w="0" w:type="dxa"/>
        <w:tblLayout w:type="fixed"/>
        <w:tblCellMar>
          <w:top w:w="28" w:type="dxa"/>
          <w:left w:w="28" w:type="dxa"/>
          <w:bottom w:w="28" w:type="dxa"/>
          <w:right w:w="28" w:type="dxa"/>
        </w:tblCellMar>
      </w:tblPr>
      <w:tblGrid>
        <w:gridCol w:w="2850"/>
        <w:gridCol w:w="2508"/>
        <w:gridCol w:w="2517"/>
        <w:gridCol w:w="211"/>
        <w:gridCol w:w="721"/>
        <w:gridCol w:w="154"/>
      </w:tblGrid>
      <w:tr>
        <w:trPr/>
        <w:tc>
          <w:tcPr>
            <w:tcW w:w="2850"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Fair value of CEG Parent common stock issued</w:t>
            </w:r>
            <w:r>
              <w:rPr>
                <w:rFonts w:ascii="Arial;sans-serif" w:hAnsi="Arial;sans-serif"/>
                <w:b w:val="false"/>
                <w:color w:val="000000"/>
                <w:sz w:val="12"/>
              </w:rPr>
              <w:t>(a)</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Cash consideration</w:t>
            </w:r>
            <w:r>
              <w:rPr>
                <w:rFonts w:ascii="Arial;sans-serif" w:hAnsi="Arial;sans-serif"/>
                <w:b w:val="false"/>
                <w:color w:val="000000"/>
                <w:sz w:val="12"/>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Fair value of common stock subject to vesting period attributable to post-combination expense</w:t>
            </w:r>
            <w:r>
              <w:rPr>
                <w:rFonts w:ascii="Arial;sans-serif" w:hAnsi="Arial;sans-serif"/>
                <w:b w:val="false"/>
                <w:color w:val="000000"/>
                <w:sz w:val="12"/>
              </w:rPr>
              <w:t>(c)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Effective settlement of preexisting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merger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(a)Represents the fair value of approximately 50 million shares of CEG Parent common stock issued in connection with the acquisition, calculated using CEG Parent’s closing stock price of $354.58 on January 6, 2026, the last trading day prior to the Acquisition Date. The fair value of the stock consideration is based on an observable market price and represents a Level 1 fair value measurement.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(b)Represents cash paid to Calpine shareholders in connection with the acquisition. The amount reflects the $4.5 billion base cash consideration per the Merger Agreement, reduced by certain adjustments based on contractual terms also specified in the Merger Agreement.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(c)Certain CEG Parent common stock issued to Calpine employees in exchange for their equity interests is subject to a vesting period of up to 26 months and has been excluded from merger consideration. These amounts will be recognized as stock-based compensation expense over the applicable vesting period in accordance with authoritative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3260"/>
                <wp:effectExtent l="0" t="0" r="0" b="0"/>
                <wp:wrapNone/>
                <wp:docPr id="17" name="Frame1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2 — Mergers, Acquisitions, and Dispositions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Purchase Price Allocation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summarizes the acquisition date fair value of the consideration transferred and the identifiable assets acquired and liabilities assumed. Accounting guidance provides that the allocation of the purchase price may be modified up to one year from the date of acquisition to the extent that additional information is obtained about the facts and circumstances that existed as of the acquisition date. Any change could result in a change in the amount of goodwill recognized.</w:t>
      </w:r>
    </w:p>
    <w:tbl>
      <w:tblPr>
        <w:tblW w:w="5916" w:type="dxa"/>
        <w:jc w:val="left"/>
        <w:tblInd w:w="0" w:type="dxa"/>
        <w:tblLayout w:type="fixed"/>
        <w:tblCellMar>
          <w:top w:w="28" w:type="dxa"/>
          <w:left w:w="28" w:type="dxa"/>
          <w:bottom w:w="28" w:type="dxa"/>
          <w:right w:w="28" w:type="dxa"/>
        </w:tblCellMar>
      </w:tblPr>
      <w:tblGrid>
        <w:gridCol w:w="1747"/>
        <w:gridCol w:w="1538"/>
        <w:gridCol w:w="1545"/>
        <w:gridCol w:w="211"/>
        <w:gridCol w:w="721"/>
        <w:gridCol w:w="154"/>
      </w:tblGrid>
      <w:tr>
        <w:trPr/>
        <w:tc>
          <w:tcPr>
            <w:tcW w:w="174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acquired:</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Assets held for sale</w:t>
            </w:r>
            <w:r>
              <w:rPr>
                <w:rFonts w:ascii="Arial;sans-serif" w:hAnsi="Arial;sans-serif"/>
                <w:b w:val="false"/>
                <w:color w:val="000000"/>
                <w:sz w:val="12"/>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Renewable energy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Unamortized energy contracts</w:t>
            </w:r>
            <w:r>
              <w:rPr>
                <w:rFonts w:ascii="Arial;sans-serif" w:hAnsi="Arial;sans-serif"/>
                <w:b w:val="false"/>
                <w:color w:val="000000"/>
                <w:sz w:val="12"/>
              </w:rPr>
              <w:t>(b)</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Long-term debt (including amounts due within one year)</w:t>
            </w:r>
            <w:r>
              <w:rPr>
                <w:rFonts w:ascii="Arial;sans-serif" w:hAnsi="Arial;sans-serif"/>
                <w:b w:val="false"/>
                <w:color w:val="000000"/>
                <w:sz w:val="12"/>
              </w:rPr>
              <w:t>(c)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Renewable energy credit obligation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income taxes and unamortized ITCs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Unamortized energy contracts</w:t>
            </w:r>
            <w:r>
              <w:rPr>
                <w:rFonts w:ascii="Arial;sans-serif" w:hAnsi="Arial;sans-serif"/>
                <w:b w:val="false"/>
                <w:color w:val="000000"/>
                <w:sz w:val="12"/>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assumed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identifiable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Goodwill</w:t>
            </w:r>
            <w:r>
              <w:rPr>
                <w:rFonts w:ascii="Arial;sans-serif" w:hAnsi="Arial;sans-serif"/>
                <w:b w:val="false"/>
                <w:color w:val="000000"/>
                <w:sz w:val="12"/>
              </w:rPr>
              <w:t>(d)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consideration transferred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Arial;sans-serif" w:hAnsi="Arial;sans-serif"/>
          <w:b/>
          <w:i/>
          <w:color w:val="000000"/>
          <w:sz w:val="18"/>
        </w:rPr>
        <w:t>(a) Assets Held for Sale.</w:t>
      </w:r>
      <w:r>
        <w:rPr>
          <w:color w:val="000000"/>
        </w:rPr>
        <w:t xml:space="preserve"> </w:t>
      </w:r>
      <w:r>
        <w:rPr>
          <w:rFonts w:ascii="Arial;sans-serif" w:hAnsi="Arial;sans-serif"/>
          <w:b w:val="false"/>
          <w:color w:val="000000"/>
          <w:sz w:val="18"/>
        </w:rPr>
        <w:t>Reflects the Acquisition Date fair value, less costs to sell, for the six generating assets required to be divested. Depreciation and amortization of these assets ceased upon classification as held for sale. No impairment has been recognized subsequent to initial classification. The following table presents the carrying amounts of the major classes of assets and liabilities classified as held for sale as of the Acquisition Date:</w:t>
      </w:r>
    </w:p>
    <w:tbl>
      <w:tblPr>
        <w:tblW w:w="5196" w:type="dxa"/>
        <w:jc w:val="left"/>
        <w:tblInd w:w="0" w:type="dxa"/>
        <w:tblLayout w:type="fixed"/>
        <w:tblCellMar>
          <w:top w:w="28" w:type="dxa"/>
          <w:left w:w="28" w:type="dxa"/>
          <w:bottom w:w="28" w:type="dxa"/>
          <w:right w:w="28" w:type="dxa"/>
        </w:tblCellMar>
      </w:tblPr>
      <w:tblGrid>
        <w:gridCol w:w="1523"/>
        <w:gridCol w:w="1339"/>
        <w:gridCol w:w="1353"/>
        <w:gridCol w:w="211"/>
        <w:gridCol w:w="61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Liabilities associated with assets held for sale: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associated with assets held for 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83260"/>
                <wp:effectExtent l="0" t="0" r="0" b="0"/>
                <wp:wrapNone/>
                <wp:docPr id="18" name="Frame18"/>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2 — Mergers, Acquisitions, and Dispositions</w:t>
      </w:r>
    </w:p>
    <w:p>
      <w:pPr>
        <w:pStyle w:val="TextBody"/>
        <w:bidi w:val="0"/>
        <w:spacing w:lineRule="auto" w:line="288" w:before="180" w:after="180"/>
        <w:jc w:val="both"/>
        <w:rPr/>
      </w:pPr>
      <w:r>
        <w:rPr>
          <w:rFonts w:ascii="Arial;sans-serif" w:hAnsi="Arial;sans-serif"/>
          <w:b/>
          <w:i/>
          <w:color w:val="000000"/>
          <w:sz w:val="18"/>
        </w:rPr>
        <w:t>(b) Unamortized Energy Contracts.</w:t>
      </w:r>
      <w:r>
        <w:rPr>
          <w:color w:val="000000"/>
        </w:rPr>
        <w:t xml:space="preserve"> </w:t>
      </w:r>
      <w:r>
        <w:rPr>
          <w:rFonts w:ascii="Arial;sans-serif" w:hAnsi="Arial;sans-serif"/>
          <w:b w:val="false"/>
          <w:color w:val="000000"/>
          <w:sz w:val="18"/>
        </w:rPr>
        <w:t>The following table summarizes the classification and amounts of UECs in the Consolidated Balance Sheets as of the Acquisition Date:</w:t>
      </w:r>
    </w:p>
    <w:tbl>
      <w:tblPr>
        <w:tblW w:w="4311" w:type="dxa"/>
        <w:jc w:val="left"/>
        <w:tblInd w:w="0" w:type="dxa"/>
        <w:tblLayout w:type="fixed"/>
        <w:tblCellMar>
          <w:top w:w="28" w:type="dxa"/>
          <w:left w:w="28" w:type="dxa"/>
          <w:bottom w:w="28" w:type="dxa"/>
          <w:right w:w="28" w:type="dxa"/>
        </w:tblCellMar>
      </w:tblPr>
      <w:tblGrid>
        <w:gridCol w:w="1259"/>
        <w:gridCol w:w="1108"/>
        <w:gridCol w:w="1113"/>
        <w:gridCol w:w="211"/>
        <w:gridCol w:w="46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deferred debits and other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deferred credits and other liabilities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Arial;sans-serif" w:hAnsi="Arial;sans-serif"/>
          <w:b/>
          <w:i/>
          <w:color w:val="000000"/>
          <w:sz w:val="18"/>
        </w:rPr>
        <w:t xml:space="preserve">(c) Long-term Debt (including amounts due within one year). </w:t>
      </w:r>
      <w:r>
        <w:rPr>
          <w:rFonts w:ascii="Arial;sans-serif" w:hAnsi="Arial;sans-serif"/>
          <w:b w:val="false"/>
          <w:color w:val="000000"/>
          <w:sz w:val="18"/>
        </w:rPr>
        <w:t>We assumed total debt of $12,551 million at estimated fair value as of the Acquisition Date, comprising $279 million classified as Long-term debt due within one year and $12,272 million classified as Long-term debt, in the Consolidated Balance Sheets. See Note 13 — Debt and Credit Agreements for additional information.</w:t>
      </w:r>
    </w:p>
    <w:p>
      <w:pPr>
        <w:pStyle w:val="TextBody"/>
        <w:bidi w:val="0"/>
        <w:spacing w:lineRule="auto" w:line="276" w:before="0" w:after="0"/>
        <w:jc w:val="both"/>
        <w:rPr/>
      </w:pPr>
      <w:r>
        <w:rPr>
          <w:rFonts w:ascii="Arial;sans-serif" w:hAnsi="Arial;sans-serif"/>
          <w:b/>
          <w:i/>
          <w:color w:val="000000"/>
          <w:sz w:val="18"/>
        </w:rPr>
        <w:t>(d) Goodwill.</w:t>
      </w:r>
      <w:r>
        <w:rPr>
          <w:color w:val="000000"/>
        </w:rPr>
        <w:t xml:space="preserve"> </w:t>
      </w:r>
      <w:r>
        <w:rPr>
          <w:rFonts w:ascii="Arial;sans-serif" w:hAnsi="Arial;sans-serif"/>
          <w:b w:val="false"/>
          <w:color w:val="000000"/>
          <w:sz w:val="18"/>
        </w:rPr>
        <w:t>Represents the excess of the purchase price over the estimated fair value of the net assets acquired. Goodwill recognized primarily reflects the expected benefits from increased scale and meaningful market diversification, complementary generation, development activities, retail capabilities, and an enhanced ability to meet growing demand with a broader array of energy and sustainability products, to the extent such benefits are not separately recognizable as identifiable intangible assets. Because the design, restructuring, and integration activities of the combined organization are still ongoing, the $11.1 billion of goodwill has been provisionally allocated to the Calpine segment as of June 30, 2026. This provisional allocation may be revised as future organizational, restructuring, and integration activities are completed. The goodwill recognized in connection with the acquisition is not expected to be deductible for income tax purposes.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Valuation of Significant Assets and Liabilities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fair values assigned to the assets acquired and liabilities assumed were determined based on significant estimates and assumptions that are judgmental in nature, including projected future cash flows; discount rates reflecting the risks inherent in the future cash flows; and future market prices, among others. These estimates and assumptions were applied to the valuation of significant acquired assets and assumed liabilities, including property, plant and equipment, assets held for sale, and unamortized energy contracts, and required assessments of current and projected market conditions and operating strategies. Forecasting future cash flows requires assumptions regarding, among other things, forecasted commodity prices for the sale of power and purchases of fuel and the expected operations of the assets, and judgments are also made to determine the expected useful lives assigned to each class of assets acquired and the duration of liabilities assumed.</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Other Key Accounting Impacts &amp; Judgments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Identifiable intangible assets acquired and liabilities assumed in connection with the acquisition include customer relationships, trade names, and energy contracts, recorded at estimated fair value. The weighted average amortization periods reflect weighted average useful lives of 15 years for customer relationships, five years for trade names, and six years for energy contracts.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also recognized the fair value of acquired commodity and interest rate derivatives and related hedging relationships as of the Acquisition Date; related gains or losses subsequent to acquisition will be recognized in earnings consistent with our accounting policies. For additional information on derivative instruments, see Note 12 — Derivative Financial Instruments.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amounts recognized for property, plant and equipment, identifiable intangible assets and liabilities (including customer relationships, trade names, and unamortized energy contracts) and their useful lives, lease assets and liabilities, asset retirement and environmental obligations, contingencies, and income taxes (including deferred taxes) are provisional and subject to revision during the measurement period.</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Acquisition-related costs (e.g., advisory, legal, valuation, and other professional fees) are expensed as incurred and reflected within Operating and maintenance expenses in the Consolidated Statements of Operations and Comprehensive Income. These costs, which are not included in the consideration transferred, were not material for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83260"/>
                <wp:effectExtent l="0" t="0" r="0" b="0"/>
                <wp:wrapNone/>
                <wp:docPr id="19" name="Frame19"/>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2 — Mergers, Acquisitions, and Dispositions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Unaudited Pro Forma Results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unaudited pro forma financial information for the three and six months ended June 30, 2026 and 2025 assumes that the acquisition occurred on January 1, 2025. The unaudited pro forma financial information is provided for informational purposes only and is not necessarily indicative of the results of operations that would have occurred had the acquisition been completed on January 1, 2025. The unaudited pro forma financial information is not indicative of the future results of operations, which may differ materially from the pro forma financial information presented here.</w:t>
      </w:r>
    </w:p>
    <w:tbl>
      <w:tblPr>
        <w:tblW w:w="7785" w:type="dxa"/>
        <w:jc w:val="left"/>
        <w:tblInd w:w="0" w:type="dxa"/>
        <w:tblLayout w:type="fixed"/>
        <w:tblCellMar>
          <w:top w:w="28" w:type="dxa"/>
          <w:left w:w="28" w:type="dxa"/>
          <w:bottom w:w="28" w:type="dxa"/>
          <w:right w:w="28" w:type="dxa"/>
        </w:tblCellMar>
      </w:tblPr>
      <w:tblGrid>
        <w:gridCol w:w="1016"/>
        <w:gridCol w:w="891"/>
        <w:gridCol w:w="898"/>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2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Unaudited pro forma financial information</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income</w:t>
            </w:r>
            <w:r>
              <w:rPr>
                <w:rFonts w:ascii="Arial;sans-serif" w:hAnsi="Arial;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(a)Reflects Net income attributable to common shareholders for CEG Parent and Net income attributable to membership interest for Constellation.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unaudited pro forma financial information presented above includes adjustments for incremental depreciation and amortization as a result of the fair value determination of the net assets acquired, the effects of the acquisition on tax expense (benefit), and other acquisition accounting adjustments.</w:t>
      </w:r>
    </w:p>
    <w:p>
      <w:pPr>
        <w:pStyle w:val="TextBody"/>
        <w:bidi w:val="0"/>
        <w:spacing w:lineRule="auto" w:line="288" w:before="180" w:after="180"/>
        <w:jc w:val="both"/>
        <w:rPr/>
      </w:pPr>
      <w:r>
        <w:rPr>
          <w:rFonts w:ascii="Arial;sans-serif" w:hAnsi="Arial;sans-serif"/>
          <w:b w:val="false"/>
          <w:color w:val="000000"/>
          <w:sz w:val="18"/>
        </w:rPr>
        <w:t>As discussed in Note 5 — Segment Information, Calpine is now presented as a reportable segment, and RNF is the segment performance metric, a component of which includes revenue. Operating revenues attributable to Calpine following the Acquisition Date were $1,907 million and $5,043 million for the three and six months ended June 30, 2026</w:t>
      </w:r>
      <w:r>
        <w:rPr>
          <w:rFonts w:ascii="Arial;sans-serif" w:hAnsi="Arial;sans-serif"/>
          <w:b w:val="false"/>
          <w:color w:val="000000"/>
          <w:sz w:val="18"/>
          <w:shd w:fill="FFFFFF" w:val="clear"/>
        </w:rPr>
        <w:t>.</w:t>
      </w:r>
      <w:r>
        <w:rPr>
          <w:color w:val="000000"/>
        </w:rPr>
        <w:t xml:space="preserve"> </w:t>
      </w:r>
      <w:r>
        <w:rPr>
          <w:rFonts w:ascii="Arial;sans-serif" w:hAnsi="Arial;sans-serif"/>
          <w:b w:val="false"/>
          <w:color w:val="000000"/>
          <w:sz w:val="18"/>
        </w:rPr>
        <w:t>However, as a result of the commencement of integration activities for certain functions and the consolidation of financing activities (see Note 13 — Debt and Credit Agreements), it is impracticable to determine Calpine’s earnings since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3. Regulatory Matters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As discussed in Note 3 — Regulatory Matters of our 2025 Form 10-K, we are involved in various regulatory and legislative proceedings. The following discusses developments in 2026 and updates to the 2025 Form 10-K. </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Capacity Interconnection Rights for Crane Clean Energy Center</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2024, we announced the restart of Three Mile Island Unit 1, renamed as the Crane Clean Energy Center. The restart is supported by a 20-year PPA with Microsoft to purchase the output generated from the renewed plant. The restart of the plant and delivery of electricity under the PPA is subject to certain regulatory approvals, including the NRC comprehensive safety and environmental review, as well as permits from relevant state and local agencies.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PJM's Phase I System Impact Study for Crane identified contingent transmission upgrades that would need to be completed for Crane to be fully deliverable to the grid, some of which suggested projected in-service dates extending as late as December 2030.</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March 2026, we filed a waiver request with FERC to allow the transfer of capacity interconnection rights (CIRs) from Eddystone to Crane with the aim of reducing the number of contingent upgrades that would need to be completed prior to Crane being fully deliverable to the grid. Eddystone Units 3 and 4 were previously announced as having a planned retirement date of May 31, 2025, but have been required to continue operating as energy-only resources under DOE emergency orders issued in 2025 and 2026 for grid reliability. Transferring the Eddystone CIRs to Crane will not affect PJM's ability to operate and dispatch Eddystone for reliability in compliance with the DOE's orders. In June 2026, FERC granted the waiver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83260"/>
                <wp:effectExtent l="0" t="0" r="0" b="0"/>
                <wp:wrapNone/>
                <wp:docPr id="20" name="Frame20"/>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4 — Revenue from Contracts with Customers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4. Revenue from Contracts with Customers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recognize revenue from contracts with customers to depict the transfer of goods or services to customers at an amount that we expect to be entitled to in exchange for those goods or services. Our primary sources of revenue include competitive sales of power, natural gas, and other energy-related products and sustainable solutions.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See Note 4 — Revenue from Contracts with Customers of our 2025 Form 10-K for additional information regarding the performance obligations, revenue recognition, and payment terms associated with these sources of revenue.</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Transaction Price Allocated to Remaining Performance Obligations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The following table shows the amounts of future revenues expected to be recorded in each year for performance obligations that are unsatisfied or partially unsatisfied as of June 30, 2026. This disclosure only includes components of contracts for which consideration is fixed and determinable. The average contract term varies by customer type and commodity but ranges from one month to several years. This disclosure excludes derivatives and certain power and gas sales contracts which contain variable volumes and/or variable pricing. </w:t>
      </w:r>
    </w:p>
    <w:tbl>
      <w:tblPr>
        <w:tblW w:w="10205" w:type="dxa"/>
        <w:jc w:val="center"/>
        <w:tblInd w:w="0" w:type="dxa"/>
        <w:tblLayout w:type="fixed"/>
        <w:tblCellMar>
          <w:top w:w="28" w:type="dxa"/>
          <w:left w:w="28" w:type="dxa"/>
          <w:bottom w:w="28" w:type="dxa"/>
          <w:right w:w="28" w:type="dxa"/>
        </w:tblCellMar>
      </w:tblPr>
      <w:tblGrid>
        <w:gridCol w:w="480"/>
        <w:gridCol w:w="422"/>
        <w:gridCol w:w="423"/>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9"/>
        <w:gridCol w:w="640"/>
        <w:gridCol w:w="113"/>
        <w:gridCol w:w="109"/>
        <w:gridCol w:w="109"/>
        <w:gridCol w:w="109"/>
        <w:gridCol w:w="211"/>
        <w:gridCol w:w="721"/>
        <w:gridCol w:w="157"/>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Remaining performance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Transaction Price Allocated to Previously Satisfied Performance Obligations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Our Clinton and Quad Cities units contract with certain utilities in Illinois which requires delivery of all ZECs produced during each planning year (June through May), with total compensation limited by an annual cap for each planning year designed to limit the cost of ZECs to each utility's customers. ZECs delivered that, if paid, would result in the annual cap being exceeded may be paid in subsequent years at the vintage year price as long as the payments would not exceed the annual cap in the year paid. The program commenced June 2017 and continues through May 2027. In various planning years since the program began, we delivered ZECs to the utilities in excess of the annual compensation cap.</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ZEC price and annual compensation cap effective for each planning year are administratively determined by the IPA. For the June 2026 through May 2027 planning year, the final year of the program, the ZEC price has been established at $1.02 per ZEC, subject to an annual cap of $228 million. ZECs generated and delivered during the current planning year will not exceed the annual cap, and as a result we recognized $85 million of revenue during the second quarter of 2026 as a receivable for all remaining ZECs delivered in prior planning years, with payment expected in the third quarter of 2027. As of June 30, 2026, this receivable is included within Other deferred debits and other assets in the Consolidated Balance Sheets.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For the June 2025 through May 2026 planning year, the ZEC price was established at $1.17 per ZEC, subject to an annual cap of $224 million. ZECs generated and delivered during this planning year did not exceed the annual cap, and as a result we recognized $201 million of revenue during the second quarter of 2025 as a receivable for ZECs delivered in prior planning years, with payment expected in the third quarter of 2026. As of June 30, 2026, this receivable is included within Accounts receivable, net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83260"/>
                <wp:effectExtent l="0" t="0" r="0" b="0"/>
                <wp:wrapNone/>
                <wp:docPr id="21" name="Frame21"/>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4 — Revenue from Contracts with Customers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Revenue Disaggregation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disaggregate the revenue recognized from contracts with customers into categories that depict how the nature, amount, timing, and uncertainty of revenue and cash flows are affected by economic factors. The following tables disaggregate the revenue recognized from contracts with customers between power revenues, capacity revenues, natural gas revenues, and other revenues. Power revenues and capacity revenues are further disaggregated by ISO/RTO and/or geographic location, which include PJM, MISO, ERCOT, NYISO, ISO-NE, West (which includes operations in CAISO, Arizona and Oregon), SERC (which includes operations in SERC not included in MISO or PJM), SPP, and International Power (which includes operations in the United Kingdom and Canada).</w:t>
      </w:r>
    </w:p>
    <w:tbl>
      <w:tblPr>
        <w:tblW w:w="10205" w:type="dxa"/>
        <w:jc w:val="left"/>
        <w:tblInd w:w="0" w:type="dxa"/>
        <w:tblLayout w:type="fixed"/>
        <w:tblCellMar>
          <w:top w:w="28" w:type="dxa"/>
          <w:left w:w="28" w:type="dxa"/>
          <w:bottom w:w="28" w:type="dxa"/>
          <w:right w:w="28" w:type="dxa"/>
        </w:tblCellMar>
      </w:tblPr>
      <w:tblGrid>
        <w:gridCol w:w="1279"/>
        <w:gridCol w:w="1068"/>
        <w:gridCol w:w="1080"/>
        <w:gridCol w:w="524"/>
        <w:gridCol w:w="1538"/>
        <w:gridCol w:w="274"/>
        <w:gridCol w:w="109"/>
        <w:gridCol w:w="109"/>
        <w:gridCol w:w="109"/>
        <w:gridCol w:w="367"/>
        <w:gridCol w:w="814"/>
        <w:gridCol w:w="189"/>
        <w:gridCol w:w="109"/>
        <w:gridCol w:w="109"/>
        <w:gridCol w:w="109"/>
        <w:gridCol w:w="248"/>
        <w:gridCol w:w="728"/>
        <w:gridCol w:w="128"/>
        <w:gridCol w:w="109"/>
        <w:gridCol w:w="109"/>
        <w:gridCol w:w="109"/>
        <w:gridCol w:w="211"/>
        <w:gridCol w:w="616"/>
        <w:gridCol w:w="160"/>
      </w:tblGrid>
      <w:tr>
        <w:trPr/>
        <w:tc>
          <w:tcPr>
            <w:tcW w:w="127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Three Months Ended June 30, 2026</w:t>
            </w:r>
          </w:p>
        </w:tc>
        <w:tc>
          <w:tcPr>
            <w:tcW w:w="23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Power and Power-related Revenues</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Capacity Revenues</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PJM</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MISO</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NYISO</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ISO-NE</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West</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SERC/SPP</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 Power</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Power revenues</w:t>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4,959 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Gas revenues</w:t>
            </w:r>
            <w:r>
              <w:rPr>
                <w:rFonts w:ascii="Arial;sans-serif" w:hAnsi="Arial;sans-serif"/>
                <w:b w:val="false"/>
                <w:color w:val="000000"/>
                <w:sz w:val="12"/>
              </w:rPr>
              <w:t>(c)</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revenues</w:t>
            </w:r>
            <w:r>
              <w:rPr>
                <w:rFonts w:ascii="Arial;sans-serif" w:hAnsi="Arial;sans-serif"/>
                <w:b w:val="false"/>
                <w:color w:val="000000"/>
                <w:sz w:val="12"/>
              </w:rPr>
              <w:t>(d)</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 from contracts with customers</w:t>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5,843 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 sources</w:t>
            </w:r>
            <w:r>
              <w:rPr>
                <w:rFonts w:ascii="Arial;sans-serif" w:hAnsi="Arial;sans-serif"/>
                <w:b w:val="false"/>
                <w:color w:val="000000"/>
                <w:sz w:val="12"/>
              </w:rPr>
              <w:t>(e)</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4,959 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Three Months Ended June 30, 2025</w:t>
            </w:r>
          </w:p>
        </w:tc>
        <w:tc>
          <w:tcPr>
            <w:tcW w:w="233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Power and Power-related Revenues</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Capacity Revenues</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PJM</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MISO</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NYISO</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ISO-NE</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West</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SERC/SPP</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 Power</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Power revenues</w:t>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Gas revenues</w:t>
            </w:r>
            <w:r>
              <w:rPr>
                <w:rFonts w:ascii="Arial;sans-serif" w:hAnsi="Arial;sans-serif"/>
                <w:b w:val="false"/>
                <w:color w:val="000000"/>
                <w:sz w:val="12"/>
              </w:rPr>
              <w:t>(c)</w:t>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revenues</w:t>
            </w:r>
            <w:r>
              <w:rPr>
                <w:rFonts w:ascii="Arial;sans-serif" w:hAnsi="Arial;sans-serif"/>
                <w:b w:val="false"/>
                <w:color w:val="000000"/>
                <w:sz w:val="12"/>
              </w:rPr>
              <w:t>(d)</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 from contracts with customers</w:t>
            </w:r>
          </w:p>
        </w:tc>
        <w:tc>
          <w:tcPr>
            <w:tcW w:w="2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4,708 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 sources</w:t>
            </w:r>
            <w:r>
              <w:rPr>
                <w:rFonts w:ascii="Arial;sans-serif" w:hAnsi="Arial;sans-serif"/>
                <w:b w:val="false"/>
                <w:color w:val="000000"/>
                <w:sz w:val="12"/>
              </w:rPr>
              <w:t>(e)</w:t>
            </w:r>
          </w:p>
        </w:tc>
        <w:tc>
          <w:tcPr>
            <w:tcW w:w="2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4,708 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83260"/>
                <wp:effectExtent l="0" t="0" r="0" b="0"/>
                <wp:wrapNone/>
                <wp:docPr id="22" name="Frame22"/>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4 — Revenue from Contracts with Customers</w:t>
      </w:r>
    </w:p>
    <w:tbl>
      <w:tblPr>
        <w:tblW w:w="10205" w:type="dxa"/>
        <w:jc w:val="left"/>
        <w:tblInd w:w="0" w:type="dxa"/>
        <w:tblLayout w:type="fixed"/>
        <w:tblCellMar>
          <w:top w:w="28" w:type="dxa"/>
          <w:left w:w="28" w:type="dxa"/>
          <w:bottom w:w="28" w:type="dxa"/>
          <w:right w:w="28" w:type="dxa"/>
        </w:tblCellMar>
      </w:tblPr>
      <w:tblGrid>
        <w:gridCol w:w="1267"/>
        <w:gridCol w:w="1045"/>
        <w:gridCol w:w="1057"/>
        <w:gridCol w:w="467"/>
        <w:gridCol w:w="1599"/>
        <w:gridCol w:w="241"/>
        <w:gridCol w:w="109"/>
        <w:gridCol w:w="109"/>
        <w:gridCol w:w="109"/>
        <w:gridCol w:w="364"/>
        <w:gridCol w:w="806"/>
        <w:gridCol w:w="187"/>
        <w:gridCol w:w="109"/>
        <w:gridCol w:w="109"/>
        <w:gridCol w:w="109"/>
        <w:gridCol w:w="247"/>
        <w:gridCol w:w="725"/>
        <w:gridCol w:w="128"/>
        <w:gridCol w:w="109"/>
        <w:gridCol w:w="109"/>
        <w:gridCol w:w="109"/>
        <w:gridCol w:w="211"/>
        <w:gridCol w:w="721"/>
        <w:gridCol w:w="159"/>
      </w:tblGrid>
      <w:tr>
        <w:trPr/>
        <w:tc>
          <w:tcPr>
            <w:tcW w:w="126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Six Months Ended June 30, 2026</w:t>
            </w:r>
          </w:p>
        </w:tc>
        <w:tc>
          <w:tcPr>
            <w:tcW w:w="23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Power and Power-related Revenues</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Capacity Revenues</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PJM</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MISO</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NYISO</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ISO-NE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West</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SERC/SPP</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 Power</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Power revenues</w:t>
            </w:r>
          </w:p>
        </w:tc>
        <w:tc>
          <w:tcPr>
            <w:tcW w:w="2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Gas revenues</w:t>
            </w:r>
            <w:r>
              <w:rPr>
                <w:rFonts w:ascii="Arial;sans-serif" w:hAnsi="Arial;sans-serif"/>
                <w:b w:val="false"/>
                <w:color w:val="000000"/>
                <w:sz w:val="12"/>
              </w:rPr>
              <w:t>(c)</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revenues</w:t>
            </w:r>
            <w:r>
              <w:rPr>
                <w:rFonts w:ascii="Arial;sans-serif" w:hAnsi="Arial;sans-serif"/>
                <w:b w:val="false"/>
                <w:color w:val="000000"/>
                <w:sz w:val="12"/>
              </w:rPr>
              <w:t>(d)</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 from contracts with customers</w:t>
            </w:r>
          </w:p>
        </w:tc>
        <w:tc>
          <w:tcPr>
            <w:tcW w:w="2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 sources</w:t>
            </w:r>
            <w:r>
              <w:rPr>
                <w:rFonts w:ascii="Arial;sans-serif" w:hAnsi="Arial;sans-serif"/>
                <w:b w:val="false"/>
                <w:color w:val="000000"/>
                <w:sz w:val="12"/>
              </w:rPr>
              <w:t>(e)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4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6,818 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Six Months Ended June 30, 2025</w:t>
            </w:r>
          </w:p>
        </w:tc>
        <w:tc>
          <w:tcPr>
            <w:tcW w:w="23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Power and Power-related Revenues</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Capacity Revenues</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PJM</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MISO</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NYISO</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ISO-NE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West</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SERC/SPP</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International Power</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Power revenues</w:t>
            </w:r>
          </w:p>
        </w:tc>
        <w:tc>
          <w:tcPr>
            <w:tcW w:w="2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9,989 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Gas revenues</w:t>
            </w:r>
            <w:r>
              <w:rPr>
                <w:rFonts w:ascii="Arial;sans-serif" w:hAnsi="Arial;sans-serif"/>
                <w:b w:val="false"/>
                <w:color w:val="000000"/>
                <w:sz w:val="12"/>
              </w:rPr>
              <w:t>(c)</w:t>
            </w:r>
          </w:p>
        </w:tc>
        <w:tc>
          <w:tcPr>
            <w:tcW w:w="20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revenues</w:t>
            </w:r>
            <w:r>
              <w:rPr>
                <w:rFonts w:ascii="Arial;sans-serif" w:hAnsi="Arial;sans-serif"/>
                <w:b w:val="false"/>
                <w:color w:val="000000"/>
                <w:sz w:val="12"/>
              </w:rPr>
              <w:t>(d)</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 from contracts with customers</w:t>
            </w:r>
          </w:p>
        </w:tc>
        <w:tc>
          <w:tcPr>
            <w:tcW w:w="2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revenue sources</w:t>
            </w:r>
            <w:r>
              <w:rPr>
                <w:rFonts w:ascii="Arial;sans-serif" w:hAnsi="Arial;sans-serif"/>
                <w:b w:val="false"/>
                <w:color w:val="000000"/>
                <w:sz w:val="12"/>
              </w:rPr>
              <w:t>(e)</w:t>
            </w:r>
          </w:p>
        </w:tc>
        <w:tc>
          <w:tcPr>
            <w:tcW w:w="20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9,935 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(a)Represents power and power-related revenues, including state-sponsored program revenues, ancillary revenues, and revenues from bundled contracts with customers.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(b)Represents revenues from regulated capacity auctions as well as bilateral capacity revenues recognized at negotiated contract prices.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(c)Represents natural gas sales and other gas-related revenues.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(d)Other revenues primarily includes the sales of other energy-related products and sustainable solutions.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(e)Other revenue sources primarily includes revenues accounted for as derivatives, leases, and amortization of intangible assets and liabilities related to commodity contracts recorded at fair value from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5. Segment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Operating segments are determined based on information used by the CODM in deciding how to evaluate performance and allocate resources. We have six reportable segments consisting of the Mid-Atlantic, Midwest, New York, ERCOT, all other power regions referred to collectively as “Other Power Regions,” and Calpine.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Following the acquisition of Calpine on January 7, 2026, Calpine's operations are being reported as a new reportable segment given the results of its operations are currently reviewed by the CODM separately from our historical reporting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83260"/>
                <wp:effectExtent l="0" t="0" r="0" b="0"/>
                <wp:wrapNone/>
                <wp:docPr id="23" name="Frame2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ind w:left="0" w:right="0" w:firstLine="720"/>
        <w:jc w:val="right"/>
        <w:rPr>
          <w:rFonts w:ascii="Arial;sans-serif" w:hAnsi="Arial;sans-serif"/>
          <w:b w:val="false"/>
          <w:color w:val="000000"/>
          <w:sz w:val="18"/>
        </w:rPr>
      </w:pPr>
      <w:r>
        <w:rPr>
          <w:rFonts w:ascii="Arial;sans-serif" w:hAnsi="Arial;sans-serif"/>
          <w:b w:val="false"/>
          <w:color w:val="000000"/>
          <w:sz w:val="18"/>
        </w:rPr>
        <w:t>Note 5 — Segment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With the exception of Calpine, the basis for our reportable segments is the integrated management of our electricity business that is located in different geographic regions, and largely representative of the footprints of ISO/RTO and/or NERC regions, which utilize multiple supply sources to provide electricity through various distribution channels (wholesale and retail). Our hedging strategies and risk metrics are also aligned to these same geographic regions. Descriptions of each of our six reportable segments are as follows:</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 xml:space="preserve">Mid-Atlantic </w:t>
      </w:r>
      <w:r>
        <w:rPr>
          <w:rFonts w:ascii="Arial;sans-serif" w:hAnsi="Arial;sans-serif"/>
          <w:b w:val="false"/>
          <w:color w:val="000000"/>
          <w:sz w:val="18"/>
        </w:rPr>
        <w:t>represents operations in the eastern half of PJM, which includes New Jersey, Maryland, Virginia, West Virginia, Delaware, the District of Columbia, and parts of Pennsylvania and North Carolina.</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Midwest</w:t>
      </w:r>
      <w:r>
        <w:rPr>
          <w:color w:val="000000"/>
        </w:rPr>
        <w:t xml:space="preserve"> </w:t>
      </w:r>
      <w:r>
        <w:rPr>
          <w:rFonts w:ascii="Arial;sans-serif" w:hAnsi="Arial;sans-serif"/>
          <w:b w:val="false"/>
          <w:color w:val="000000"/>
          <w:sz w:val="18"/>
        </w:rPr>
        <w:t>represents operations in the western half of PJM and the United States footprint of MISO, excluding MISO’s Southern Region.</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New York</w:t>
      </w:r>
      <w:r>
        <w:rPr>
          <w:color w:val="000000"/>
        </w:rPr>
        <w:t xml:space="preserve"> </w:t>
      </w:r>
      <w:r>
        <w:rPr>
          <w:rFonts w:ascii="Arial;sans-serif" w:hAnsi="Arial;sans-serif"/>
          <w:b w:val="false"/>
          <w:color w:val="000000"/>
          <w:sz w:val="18"/>
        </w:rPr>
        <w:t>represents operations within NYISO.</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ERCOT</w:t>
      </w:r>
      <w:r>
        <w:rPr>
          <w:color w:val="000000"/>
        </w:rPr>
        <w:t xml:space="preserve"> </w:t>
      </w:r>
      <w:r>
        <w:rPr>
          <w:rFonts w:ascii="Arial;sans-serif" w:hAnsi="Arial;sans-serif"/>
          <w:b w:val="false"/>
          <w:color w:val="000000"/>
          <w:sz w:val="18"/>
        </w:rPr>
        <w:t>represents operations within Electric Reliability Council of Texas that covers a majority of the state of Texas.</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Other Power Regions:</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New England</w:t>
      </w:r>
      <w:r>
        <w:rPr>
          <w:color w:val="000000"/>
        </w:rPr>
        <w:t xml:space="preserve"> </w:t>
      </w:r>
      <w:r>
        <w:rPr>
          <w:rFonts w:ascii="Arial;sans-serif" w:hAnsi="Arial;sans-serif"/>
          <w:b w:val="false"/>
          <w:color w:val="000000"/>
          <w:sz w:val="18"/>
        </w:rPr>
        <w:t>represents operations within ISO-NE.</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South</w:t>
      </w:r>
      <w:r>
        <w:rPr>
          <w:color w:val="000000"/>
        </w:rPr>
        <w:t xml:space="preserve"> </w:t>
      </w:r>
      <w:r>
        <w:rPr>
          <w:rFonts w:ascii="Arial;sans-serif" w:hAnsi="Arial;sans-serif"/>
          <w:b w:val="false"/>
          <w:color w:val="000000"/>
          <w:sz w:val="18"/>
        </w:rPr>
        <w:t>represents operations in FRCC, MISO’s Southern Region, and the remaining portions of SERC not included within MISO or PJM.</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West</w:t>
      </w:r>
      <w:r>
        <w:rPr>
          <w:color w:val="000000"/>
        </w:rPr>
        <w:t xml:space="preserve"> </w:t>
      </w:r>
      <w:r>
        <w:rPr>
          <w:rFonts w:ascii="Arial;sans-serif" w:hAnsi="Arial;sans-serif"/>
          <w:b w:val="false"/>
          <w:color w:val="000000"/>
          <w:sz w:val="18"/>
        </w:rPr>
        <w:t>represents operations in WECC, which includes CAISO.</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Canada</w:t>
      </w:r>
      <w:r>
        <w:rPr>
          <w:color w:val="000000"/>
        </w:rPr>
        <w:t xml:space="preserve"> </w:t>
      </w:r>
      <w:r>
        <w:rPr>
          <w:rFonts w:ascii="Arial;sans-serif" w:hAnsi="Arial;sans-serif"/>
          <w:b w:val="false"/>
          <w:color w:val="000000"/>
          <w:sz w:val="18"/>
        </w:rPr>
        <w:t>represents operations across the entire country of Canada and includes AESO, OIESO, and the Canadian portion of MISO.</w:t>
      </w:r>
    </w:p>
    <w:p>
      <w:pPr>
        <w:pStyle w:val="TextBody"/>
        <w:bidi w:val="0"/>
        <w:spacing w:lineRule="auto" w:line="288" w:before="180" w:after="180"/>
        <w:ind w:left="0" w:right="0" w:hanging="360"/>
        <w:jc w:val="both"/>
        <w:rPr/>
      </w:pPr>
      <w:r>
        <w:rPr>
          <w:color w:val="000000"/>
        </w:rPr>
        <w:t>•</w:t>
      </w:r>
      <w:r>
        <w:rPr>
          <w:rFonts w:ascii="Arial;sans-serif" w:hAnsi="Arial;sans-serif"/>
          <w:b/>
          <w:color w:val="000000"/>
          <w:sz w:val="18"/>
        </w:rPr>
        <w:t xml:space="preserve">Calpine </w:t>
      </w:r>
      <w:r>
        <w:rPr>
          <w:rFonts w:ascii="Arial;sans-serif" w:hAnsi="Arial;sans-serif"/>
          <w:b w:val="false"/>
          <w:color w:val="000000"/>
          <w:sz w:val="18"/>
        </w:rPr>
        <w:t>represents operations acquired through the merger with Calpine on January 7, 2026, which are located throughout the country, including CAISO, ERCOT, PJM, ISO-NE, NYISO, MISO, SERC, Arizona, Oregon, as well as Canada.</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Our CEO is considered the CODM and evaluates the performance of our electric business activities and allocates resources based on segment RNF, primarily through review of budget-to-actual variance analyses. RNF is Operating revenues net of Purchased power and fuel expenses. We believe this is a useful measurement of operational performance, although it is not a presentation defined under GAAP and may not be comparable to other companies’ presentations nor deemed more useful than the GAAP information provided elsewhere in this report. In our evaluation of operating segments, we noted the CODM reviews a variety of performance and profitability measures at a consolidated level with a primary focus on RNF reporting at the geographic regional level, with the exception of Calpine which is currently reviewed on a standalone basis. Our operating revenues include all sales to third parties as well as government assistance. Purchased power and fuel expenses are considered the most significant segment expense. Purchased power costs include all costs associated with the procurement and supply of electricity including capacity, energy, and ancillary services. Fuel expense includes the fuel costs for our owned generation and fuel costs associated with tolling agreements. The results of our other business activities are not regularly reviewed by the CODM and are therefore not classified as operating segments nor included in the reportable segment amounts. These activities include wholesale and retail sales of natural gas, with the exception of Calpine's natural gas sales which are included in the Calpine segment, energy-related sales in the United Kingdom, as well as sales of other energy-related products and sustainable solutions that are not significant to our overall results of operations. Further, our unrealized gains and losses on economic hedging activities and our amortization of certain intangible assets and liabilities relating to commodity contracts recorded at fair value from mergers and acquisitions are also excluded from the reportable segment amounts. The CODM does not use a measure of total assets in making decisions regarding allocating resources to or assessing the performance of these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83260"/>
                <wp:effectExtent l="0" t="0" r="0" b="0"/>
                <wp:wrapNone/>
                <wp:docPr id="24" name="Frame2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ind w:left="0" w:right="0" w:firstLine="720"/>
        <w:jc w:val="right"/>
        <w:rPr>
          <w:rFonts w:ascii="Arial;sans-serif" w:hAnsi="Arial;sans-serif"/>
          <w:b w:val="false"/>
          <w:color w:val="000000"/>
          <w:sz w:val="18"/>
        </w:rPr>
      </w:pPr>
      <w:r>
        <w:rPr>
          <w:rFonts w:ascii="Arial;sans-serif" w:hAnsi="Arial;sans-serif"/>
          <w:b w:val="false"/>
          <w:color w:val="000000"/>
          <w:sz w:val="18"/>
        </w:rPr>
        <w:t>Note 5 — Segment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which relate directly to our Consolidated Statements of Operations and Comprehensive Income, provide the reconciliation of operating revenues, purchased power and fuel expenses, and RNF for our reportable segments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852"/>
        <w:gridCol w:w="225"/>
        <w:gridCol w:w="228"/>
        <w:gridCol w:w="109"/>
        <w:gridCol w:w="109"/>
        <w:gridCol w:w="109"/>
        <w:gridCol w:w="109"/>
        <w:gridCol w:w="221"/>
        <w:gridCol w:w="758"/>
        <w:gridCol w:w="114"/>
        <w:gridCol w:w="109"/>
        <w:gridCol w:w="109"/>
        <w:gridCol w:w="109"/>
        <w:gridCol w:w="235"/>
        <w:gridCol w:w="833"/>
        <w:gridCol w:w="121"/>
        <w:gridCol w:w="109"/>
        <w:gridCol w:w="109"/>
        <w:gridCol w:w="109"/>
        <w:gridCol w:w="211"/>
        <w:gridCol w:w="616"/>
        <w:gridCol w:w="109"/>
        <w:gridCol w:w="109"/>
        <w:gridCol w:w="109"/>
        <w:gridCol w:w="109"/>
        <w:gridCol w:w="109"/>
        <w:gridCol w:w="109"/>
        <w:gridCol w:w="109"/>
        <w:gridCol w:w="109"/>
        <w:gridCol w:w="221"/>
        <w:gridCol w:w="758"/>
        <w:gridCol w:w="114"/>
        <w:gridCol w:w="109"/>
        <w:gridCol w:w="109"/>
        <w:gridCol w:w="109"/>
        <w:gridCol w:w="239"/>
        <w:gridCol w:w="730"/>
        <w:gridCol w:w="123"/>
        <w:gridCol w:w="109"/>
        <w:gridCol w:w="109"/>
        <w:gridCol w:w="109"/>
        <w:gridCol w:w="211"/>
        <w:gridCol w:w="616"/>
        <w:gridCol w:w="163"/>
      </w:tblGrid>
      <w:tr>
        <w:trPr/>
        <w:tc>
          <w:tcPr>
            <w:tcW w:w="8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7371" w:type="dxa"/>
            <w:gridSpan w:val="34"/>
            <w:tcBorders/>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Purchased power and fuel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RNF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Purchased power and fuel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RNF</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w:t>
            </w:r>
            <w:r>
              <w:rPr>
                <w:rFonts w:ascii="Arial;sans-serif" w:hAnsi="Arial;sans-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Consolidated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7371" w:type="dxa"/>
            <w:gridSpan w:val="34"/>
            <w:tcBorders/>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6" w:type="dxa"/>
            <w:gridSpan w:val="18"/>
            <w:tcBorders/>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Calpine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(8,013)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(5,599)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w:t>
            </w:r>
            <w:r>
              <w:rPr>
                <w:rFonts w:ascii="Arial;sans-serif" w:hAnsi="Arial;sans-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Consolidated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(a)Represents activities not allocated to a segment. See text above for a description of included activities. Operating revenues include unrealized losses of $320 million and gains of $86 million for the three months ended June 30, 2026 and 2025, respectively. Purchased power and fuel expenses include unrealized losses of $120 million and gains of $81 million for the three months ended June 30, 2026 and 2025,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(b)Represents activities not allocated to a segment. See text above for a description of included activities. Operating revenues include unrealized gains of $995 million and losses of $201 million for the six months ended June 30, 2026 and 2025, respectively. Purchased power and fuel expenses include unrealized losses of $373 million and gains of $46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6. Government Assistance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Beginning in 2024, our nuclear units are eligible for a PTC extending through 2032. See Note 1 — Basis of Presentation and Note 6 — Government Assistance of our 2025 Form 10-K for additional information on nuclear PTCs.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83260"/>
                <wp:effectExtent l="0" t="0" r="0" b="0"/>
                <wp:wrapNone/>
                <wp:docPr id="25" name="Frame2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Combined Notes to Consolidated Financial Statements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6 — Government Assistance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For the three and six months ended June 30, 2026 and 2025, we did not record a material nuclear PTC benefit as the estimate of full year gross receipts exceeded the phase-out for annual gross receipts per MWh for most units. As of June 30, 2026 and December 31, 2025, our Consolidated Balance Sheets reflect approximately $150 million and $120 million, respectively, of nuclear PTCs within Other deferred debits and other assets. For the six months ended June 30, 2026, we did not utilize any estimated nuclear PTCs as a credit against our current federal income taxes payable. For the year ended December 31, 2025, we recognized a reduction to Accounts payable and accrued expenses in our Consolidated Balance Sheets of $375 million for estimated nuclear PTCs that we have utilized as a credit against our current federal income taxes payable.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Many of the state-sponsored programs providing compensation for the emissions-free attributes of generation from certain of our nuclear units include contractual or other provisions that require us to refund that compensation up to the amount of the nuclear PTC received or pass through the entirety of the nuclear PTC received. As of June 30, 2026 and December 31, 2025, we have recognized approximately $270 million and $1,190 million, respectively, of estimated payables within Other deferred credits and other liabilities, Accounts payable and accrued expenses or as offsets to Accounts receivable, net in our Consolidated Balance Sheets associated with programs requiring refunds or pass through of the nuclear PTC. In general, we expect to remit refunds or pass-throughs of state-sponsored program compensation related to nuclear PTCs in the year following the filing of the related tax return. During the six months ended June 30, 2026, we refunded or offset against outstanding receivables approximately $920 million associated with state-sponsored program compensation relating to the nuclear PTCs recorded in 2024. During the three and six months ended June 30, 2026, we recognized an increase to net operating revenue (pre-tax) of approximately $10 million and a reduction to net operating revenue of approximately $275 million, respectively, associated with these programs in our Consolidated Statements of Operations and Comprehensive Income, compared to an increase to net operating revenue (pre-tax) of approximately $75 million and $190 million during the three and six months ended June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7. Accounts Receivable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additional information on the disaggregation of customer and other accounts receivable:</w:t>
      </w:r>
    </w:p>
    <w:tbl>
      <w:tblPr>
        <w:tblW w:w="10205" w:type="dxa"/>
        <w:jc w:val="left"/>
        <w:tblInd w:w="0" w:type="dxa"/>
        <w:tblLayout w:type="fixed"/>
        <w:tblCellMar>
          <w:top w:w="28" w:type="dxa"/>
          <w:left w:w="28" w:type="dxa"/>
          <w:bottom w:w="28" w:type="dxa"/>
          <w:right w:w="28" w:type="dxa"/>
        </w:tblCellMar>
      </w:tblPr>
      <w:tblGrid>
        <w:gridCol w:w="2866"/>
        <w:gridCol w:w="2529"/>
        <w:gridCol w:w="2555"/>
        <w:gridCol w:w="211"/>
        <w:gridCol w:w="616"/>
        <w:gridCol w:w="109"/>
        <w:gridCol w:w="109"/>
        <w:gridCol w:w="109"/>
        <w:gridCol w:w="109"/>
        <w:gridCol w:w="213"/>
        <w:gridCol w:w="622"/>
        <w:gridCol w:w="157"/>
      </w:tblGrid>
      <w:tr>
        <w:trPr/>
        <w:tc>
          <w:tcPr>
            <w:tcW w:w="2866"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Accounts receivable, net</w:t>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June 30, 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CEG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Constellation</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Customer accounts receivable (net of allowance for credit losses of $165 for CEG Parent and Constellation)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accounts receivable (net of allowance for credit losses of $— for CEG Parent and Constellation)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December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Customer accounts receivable (net of allowance for credit losses of $158 for CEG Parent and Constellation)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accounts receivable (net of allowance for credit losses of $9 for CEG Parent and Constellation)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 xml:space="preserve">Allowance for Credit Losses on Accounts Receivable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the rollforward of allowance for credit losses on customer accounts receivable from January 1, 2026 to June 30, 2026.</w:t>
      </w:r>
    </w:p>
    <w:tbl>
      <w:tblPr>
        <w:tblW w:w="5046" w:type="dxa"/>
        <w:jc w:val="center"/>
        <w:tblInd w:w="0" w:type="dxa"/>
        <w:tblLayout w:type="fixed"/>
        <w:tblCellMar>
          <w:top w:w="28" w:type="dxa"/>
          <w:left w:w="28" w:type="dxa"/>
          <w:bottom w:w="28" w:type="dxa"/>
          <w:right w:w="28" w:type="dxa"/>
        </w:tblCellMar>
      </w:tblPr>
      <w:tblGrid>
        <w:gridCol w:w="1525"/>
        <w:gridCol w:w="1340"/>
        <w:gridCol w:w="1350"/>
        <w:gridCol w:w="211"/>
        <w:gridCol w:w="46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Current period provision for expected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Write-offs, net of recoveries</w:t>
            </w:r>
            <w:r>
              <w:rPr>
                <w:rFonts w:ascii="Arial;sans-serif" w:hAnsi="Arial;sans-serif"/>
                <w:b w:val="false"/>
                <w:color w:val="000000"/>
                <w:sz w:val="12"/>
              </w:rPr>
              <w:t>(a)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(a)Recoveries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83260"/>
                <wp:effectExtent l="0" t="0" r="0" b="0"/>
                <wp:wrapNone/>
                <wp:docPr id="26" name="Frame2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Combined Notes to Consolidated Financial Statements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7 — Accounts Receivable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allowance for credit losses on other accounts receivable was not material as of the balance sheet dates, therefore, a rollforward is not presented.</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Unbilled Customer Revenue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recorded $1,636 million and $1,305 million of unbilled customer revenues in Accounts receivable, net in the Consolidated Balance Sheets as of June 30, 2026 and December 31, 2025, respectively.</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Calpine Accounts Receivable Sales Program</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Following the acquisition of Calpine on January 7, 2026, the Company has assumed Calpine's Accounts Receivable Sales Program (Calpine AR Facility). The Calpine AR Facility was established by Calpine in December 2016 and was last renewed in November 2025 with a current expiration of November 2026. The Calpine AR Facility is a receivables purchase agreement between Calpine Energy Solutions, LLC and Calpine Receivables, LLC, a wholly-owned subsidiary that is accounted for as an unconsolidated VIE, along with an additional purchase and sale agreement between Calpine Receivables, LLC, and unaffiliated financial institutions, the combination of which allow for the revolving sale of up to $500 million in certain trade accounts receivables of Calpine Energy Solutions, LLC to third parties at a nominal discount.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Receivables sold under the Calpine AR Facility are accounted for as sales and excluded from Accounts receivable, net in the Consolidated Balance Sheets and reflected as Cash provided by operating activities in the Consolidated Statements of Cash Flows. Any portion of the purchase price for the sold receivables which is not paid in cash is recorded as a short-term note receivable within Accounts receivable, net, which was not material as of June 30, 2026. Our risk of loss following the transfer of accounts receivable is limited to the note receivable outstanding. Payment of the note receivable is not subject to significant risks other than delinquencies and credit losses on accounts receivable transferred.</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Company has guaranteed the performance of Calpine Energy Solutions, LLC to Calpine Receivables, LLC under the Calpine AR Facility, see Note 15 — Commitments and Contingencies for additional information. Additionally, see Note 17 — Variable Interest Entities for additional information on Calpine Receivables, LLC and its status as an unconsolidated VIE.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There was $459 million in gross accounts receivable outstanding that were sold at a nominal discount under the Calpine AR Facility as of June 30, 2026, and $343 million of the $500 million facility amount was utilized. The following table summarizes certain activity for the period under the Calpine AR Facility:</w:t>
      </w:r>
    </w:p>
    <w:tbl>
      <w:tblPr>
        <w:tblW w:w="6014" w:type="dxa"/>
        <w:jc w:val="center"/>
        <w:tblInd w:w="0" w:type="dxa"/>
        <w:tblLayout w:type="fixed"/>
        <w:tblCellMar>
          <w:top w:w="28" w:type="dxa"/>
          <w:left w:w="28" w:type="dxa"/>
          <w:bottom w:w="28" w:type="dxa"/>
          <w:right w:w="28" w:type="dxa"/>
        </w:tblCellMar>
      </w:tblPr>
      <w:tblGrid>
        <w:gridCol w:w="1374"/>
        <w:gridCol w:w="1207"/>
        <w:gridCol w:w="1214"/>
        <w:gridCol w:w="477"/>
        <w:gridCol w:w="1394"/>
        <w:gridCol w:w="348"/>
      </w:tblGrid>
      <w:tr>
        <w:trPr/>
        <w:tc>
          <w:tcPr>
            <w:tcW w:w="137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Aggregate receivables sold during the period</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Proceeds collected on sold receivables</w:t>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Other Sales of Customer Accounts Receivables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We are required, under supplier tariffs, to sell customer receivables to certain utility companies at a nominal discount. The total gross receivables sold were $1,833 million and $2,045 million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08025"/>
                <wp:effectExtent l="0" t="0" r="0" b="0"/>
                <wp:wrapNone/>
                <wp:docPr id="27" name="Frame27"/>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Combined Notes to Consolidated Financial Statements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8 — Property, Plant, and Equipment</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8. Property, Plant, and Equipment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a summary of property, plant, and equipment balances by asset category as of June 30, 2026 and December 31, 2025:</w:t>
      </w:r>
    </w:p>
    <w:tbl>
      <w:tblPr>
        <w:tblW w:w="5866" w:type="dxa"/>
        <w:jc w:val="left"/>
        <w:tblInd w:w="0" w:type="dxa"/>
        <w:tblLayout w:type="fixed"/>
        <w:tblCellMar>
          <w:top w:w="28" w:type="dxa"/>
          <w:left w:w="28" w:type="dxa"/>
          <w:bottom w:w="28" w:type="dxa"/>
          <w:right w:w="28" w:type="dxa"/>
        </w:tblCellMar>
      </w:tblPr>
      <w:tblGrid>
        <w:gridCol w:w="1130"/>
        <w:gridCol w:w="992"/>
        <w:gridCol w:w="997"/>
        <w:gridCol w:w="211"/>
        <w:gridCol w:w="721"/>
        <w:gridCol w:w="109"/>
        <w:gridCol w:w="109"/>
        <w:gridCol w:w="109"/>
        <w:gridCol w:w="109"/>
        <w:gridCol w:w="268"/>
        <w:gridCol w:w="916"/>
        <w:gridCol w:w="195"/>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Asset Category</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Electric</w:t>
            </w:r>
            <w:r>
              <w:rPr>
                <w:rFonts w:ascii="Arial;sans-serif" w:hAnsi="Arial;sans-serif"/>
                <w:b w:val="false"/>
                <w:color w:val="000000"/>
                <w:sz w:val="12"/>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33,253 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Nuclear fuel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CWIP</w:t>
            </w:r>
            <w:r>
              <w:rPr>
                <w:rFonts w:ascii="Arial;sans-serif" w:hAnsi="Arial;sans-serif"/>
                <w:b w:val="false"/>
                <w:color w:val="000000"/>
                <w:sz w:val="12"/>
              </w:rPr>
              <w:t>(a)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property, plant, and equipment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41,546 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19,072 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Property, plant, and equipment, net</w:t>
            </w:r>
            <w:r>
              <w:rPr>
                <w:rFonts w:ascii="Arial;sans-serif" w:hAnsi="Arial;sans-serif"/>
                <w:b w:val="false"/>
                <w:color w:val="000000"/>
                <w:sz w:val="12"/>
              </w:rPr>
              <w:t>(b)</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22,474 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(a)Includes Electric and CWIP assets acquired as a result of the Calpine acquisition of $17,247 million and $1,234 million, respectively.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(b)Excludes assets held for sale related to the acquisition of Calpine. See Note 2 — Mergers, Acquisitions, and Dispositions for additional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estimated useful lives of our generating facilities are based on a combination of depreciation studies, historical retirements, site licenses and management estimates of operating costs and expected energy market conditions. As a result of the acquisition of Calpine, we added a fleet of natural gas, oil, geothermal, battery storage and solar assets. There were no material changes in the estimated useful lives of our combined oil and gas, battery storage, wind and solar facilities as a result. Geothermal facility depreciation provisions are based on an estimated useful life through 2066. For additional information about the useful lives of our generating facilities and depreciation provisions, see Note 8 — Property, Plant, and Equipment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9. Asset Retirement Obligations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Nuclear Decommissioning Asset Retirement Obligations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We have a legal obligation to decommission our nuclear power plants following the permanent cessation of operations. See Note 10 — Asset Retirement Obligations of our 2025 Form 10-K for additional information regarding AROs and the financial statement impact of changes in estimates.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a rollforward of the nuclear decommissioning AROs reflected in the Consolidated Balance Sheets from December 31, 2025 to June 30, 2026:</w:t>
      </w:r>
    </w:p>
    <w:tbl>
      <w:tblPr>
        <w:tblW w:w="7236" w:type="dxa"/>
        <w:jc w:val="left"/>
        <w:tblInd w:w="0" w:type="dxa"/>
        <w:tblLayout w:type="fixed"/>
        <w:tblCellMar>
          <w:top w:w="28" w:type="dxa"/>
          <w:left w:w="28" w:type="dxa"/>
          <w:bottom w:w="28" w:type="dxa"/>
          <w:right w:w="28" w:type="dxa"/>
        </w:tblCellMar>
      </w:tblPr>
      <w:tblGrid>
        <w:gridCol w:w="2227"/>
        <w:gridCol w:w="1957"/>
        <w:gridCol w:w="1966"/>
        <w:gridCol w:w="211"/>
        <w:gridCol w:w="721"/>
        <w:gridCol w:w="154"/>
      </w:tblGrid>
      <w:tr>
        <w:trPr/>
        <w:tc>
          <w:tcPr>
            <w:tcW w:w="2227"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decrease due to changes in, and timing of, estimated future cash flows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incurred related to decommissioning plants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rPr>
        <w:t xml:space="preserve">During the six months ended June 30, 2026, the net $1,277 million decrease in the ARO for the changes in, and timing of, estimated future cash flows was driven primarily by </w:t>
      </w:r>
      <w:r>
        <w:rPr>
          <w:rFonts w:ascii="Times New Roman;serif" w:hAnsi="Times New Roman;serif"/>
          <w:b w:val="false"/>
          <w:color w:val="000000"/>
          <w:sz w:val="24"/>
        </w:rPr>
        <w:t>c</w:t>
      </w:r>
      <w:r>
        <w:rPr>
          <w:rFonts w:ascii="Arial;sans-serif" w:hAnsi="Arial;sans-serif"/>
          <w:b w:val="false"/>
          <w:color w:val="000000"/>
          <w:sz w:val="18"/>
        </w:rPr>
        <w:t>hanges in assumed retirement dates for various plants, including Calvert Cliffs, Fitzpatrick, Limerick, and Nine Mile Point.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2026 ARO updates resulted in a decrease of $285 million in Operating and maintenance expense for the six months ended June 30, 2026 in the Consolidated Statements of Operations and Comprehensive income.</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NDT Funds</w:t>
      </w:r>
    </w:p>
    <w:p>
      <w:pPr>
        <w:pStyle w:val="TextBody"/>
        <w:bidi w:val="0"/>
        <w:spacing w:lineRule="auto" w:line="288" w:before="180" w:after="180"/>
        <w:jc w:val="both"/>
        <w:rPr/>
      </w:pPr>
      <w:r>
        <w:rPr>
          <w:rFonts w:ascii="Arial;sans-serif" w:hAnsi="Arial;sans-serif"/>
          <w:b w:val="false"/>
          <w:color w:val="000000"/>
          <w:sz w:val="18"/>
        </w:rPr>
        <w:t>We had NDT funds totaling $20,583 million and $19,396 million as of June 30, 2026 and December 31, 2025, respectively. The current portions of the NDT funds, which are included in Other current assets in our Consolidated Balance Sheets, were not material a</w:t>
      </w:r>
      <w:r>
        <w:rPr>
          <w:rFonts w:ascii="Arial;sans-serif" w:hAnsi="Arial;sans-serif"/>
          <w:b w:val="false"/>
          <w:color w:val="000000"/>
          <w:sz w:val="18"/>
          <w:shd w:fill="FFFFFF" w:val="clear"/>
        </w:rPr>
        <w:t xml:space="preserve">s of June 30, 2026 and December 31, 2025. </w:t>
      </w:r>
      <w:r>
        <w:rPr>
          <w:rFonts w:ascii="Arial;sans-serif" w:hAnsi="Arial;sans-serif"/>
          <w:b w:val="false"/>
          <w:color w:val="000000"/>
          <w:sz w:val="18"/>
        </w:rPr>
        <w:t>See Note 18 — Supplemental Financial Information for additional information on activities of the NDT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08025"/>
                <wp:effectExtent l="0" t="0" r="0" b="0"/>
                <wp:wrapNone/>
                <wp:docPr id="28" name="Frame28"/>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9 — Asset Retirement Obligations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Accounting Implications of the Regulatory Agreement Units</w:t>
      </w:r>
    </w:p>
    <w:p>
      <w:pPr>
        <w:pStyle w:val="TextBody"/>
        <w:bidi w:val="0"/>
        <w:spacing w:lineRule="auto" w:line="288" w:before="180" w:after="180"/>
        <w:jc w:val="both"/>
        <w:rPr/>
      </w:pPr>
      <w:r>
        <w:rPr>
          <w:rFonts w:ascii="Arial;sans-serif" w:hAnsi="Arial;sans-serif"/>
          <w:b w:val="false"/>
          <w:color w:val="000000"/>
          <w:sz w:val="18"/>
        </w:rPr>
        <w:t>See Note 1 — Basis of Presentation and Note 10 — Asset Retirement Obligations</w:t>
      </w:r>
      <w:r>
        <w:rPr>
          <w:color w:val="000000"/>
        </w:rPr>
        <w:t xml:space="preserve"> </w:t>
      </w:r>
      <w:r>
        <w:rPr>
          <w:rFonts w:ascii="Arial;sans-serif" w:hAnsi="Arial;sans-serif"/>
          <w:b w:val="false"/>
          <w:color w:val="000000"/>
          <w:sz w:val="18"/>
        </w:rPr>
        <w:t>of our 2025 Form 10-K for additional information on the Regulatory Agreement Units.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our noncurrent payables to ComEd, PECO, CenterPoint, and AEP Texas reflected as Payables related to Regulatory Agreement Units in the Consolidated Balance Sheets as of June 30, 2026 and December 31, 2025:</w:t>
      </w:r>
    </w:p>
    <w:tbl>
      <w:tblPr>
        <w:tblW w:w="6747" w:type="dxa"/>
        <w:jc w:val="left"/>
        <w:tblInd w:w="0" w:type="dxa"/>
        <w:tblLayout w:type="fixed"/>
        <w:tblCellMar>
          <w:top w:w="28" w:type="dxa"/>
          <w:left w:w="28" w:type="dxa"/>
          <w:bottom w:w="28" w:type="dxa"/>
          <w:right w:w="28" w:type="dxa"/>
        </w:tblCellMar>
      </w:tblPr>
      <w:tblGrid>
        <w:gridCol w:w="1463"/>
        <w:gridCol w:w="1286"/>
        <w:gridCol w:w="1301"/>
        <w:gridCol w:w="223"/>
        <w:gridCol w:w="652"/>
        <w:gridCol w:w="115"/>
        <w:gridCol w:w="109"/>
        <w:gridCol w:w="109"/>
        <w:gridCol w:w="109"/>
        <w:gridCol w:w="297"/>
        <w:gridCol w:w="867"/>
        <w:gridCol w:w="216"/>
      </w:tblGrid>
      <w:tr>
        <w:trPr/>
        <w:tc>
          <w:tcPr>
            <w:tcW w:w="146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ComEd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PECO</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CenterPoint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AEP Texas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Payables related to Regulatory Agreement Units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NRC Minimum Funding Requirements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NRC regulations require that licensees of nuclear generating facilities demonstrate reasonable assurance that funds will be available in specified minimum amounts for radiological decommissioning of the facility at the end of its life.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filed our annual decommissioning funding status report with the NRC for our shutdown units, and any units within five years of shutdown in March 2026. The status report demonstrated adequate decommissioning funding assurance as of December 31, 2025 for all units included in the report. See Note 10 — Asset Retirement Obligations of our 2025 Form 10-K for additional information.</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Non-Nuclear Asset Retirement Obligations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have AROs for plant closure costs associated with our natural gas, oil, battery storage, and renewable generating facilities, including geothermal. The obligations include asbestos abatement, removal of certain storage tanks, restoring leased land to the condition it was in prior to construction of renewable generating stations, disposal of hazardous materials, plug and abandonment of wells, and other decommissioning-related activities. See Note 1 — Basis of Presentation of our 2025 Form 10-K for additional information on the accounting policy for AROs.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a rollforward of the non-nuclear AROs reflected in the Consolidated Balance Sheets from December 31, 2025 to June 30, 2026:</w:t>
      </w:r>
    </w:p>
    <w:tbl>
      <w:tblPr>
        <w:tblW w:w="6920" w:type="dxa"/>
        <w:jc w:val="center"/>
        <w:tblInd w:w="0" w:type="dxa"/>
        <w:tblLayout w:type="fixed"/>
        <w:tblCellMar>
          <w:top w:w="28" w:type="dxa"/>
          <w:left w:w="28" w:type="dxa"/>
          <w:bottom w:w="28" w:type="dxa"/>
          <w:right w:w="28" w:type="dxa"/>
        </w:tblCellMar>
      </w:tblPr>
      <w:tblGrid>
        <w:gridCol w:w="2205"/>
        <w:gridCol w:w="1938"/>
        <w:gridCol w:w="1946"/>
        <w:gridCol w:w="211"/>
        <w:gridCol w:w="466"/>
        <w:gridCol w:w="154"/>
      </w:tblGrid>
      <w:tr>
        <w:trPr/>
        <w:tc>
          <w:tcPr>
            <w:tcW w:w="220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Acquisition of Calpine</w:t>
            </w:r>
            <w:r>
              <w:rPr>
                <w:rFonts w:ascii="Arial;sans-serif" w:hAnsi="Arial;sans-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Development projects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increase due to changes in, and timing of, estimated future cash flows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Costs incurred related to decommissioning plants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 xml:space="preserve">(a)Reflects our decommissioning obligations for Calpine plants acquired on January 7, 2026, which are recorded at estimated fair value. See </w:t>
      </w:r>
      <w:r>
        <w:rPr>
          <w:rFonts w:ascii="Arial;sans-serif" w:hAnsi="Arial;sans-serif"/>
          <w:b w:val="false"/>
          <w:color w:val="000000"/>
          <w:sz w:val="16"/>
        </w:rPr>
        <w:t>Note 2 — Mergers, Acquisitions, and Dispositions</w:t>
      </w:r>
      <w:r>
        <w:rPr>
          <w:color w:val="000000"/>
          <w:shd w:fill="FFFFFF" w:val="clear"/>
        </w:rPr>
        <w:t xml:space="preserve"> </w:t>
      </w:r>
      <w:r>
        <w:rPr>
          <w:rFonts w:ascii="Arial;sans-serif" w:hAnsi="Arial;sans-serif"/>
          <w:b w:val="false"/>
          <w:color w:val="000000"/>
          <w:sz w:val="16"/>
          <w:shd w:fill="FFFFFF" w:val="clear"/>
        </w:rPr>
        <w:t>for additional information. Many of the facilities acquired from Calpine do not have AROs given the absence of legal requirements to perform retirement related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08025"/>
                <wp:effectExtent l="0" t="0" r="0" b="0"/>
                <wp:wrapNone/>
                <wp:docPr id="29" name="Frame29"/>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10 — Income Taxes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10. Income Taxes</w:t>
      </w:r>
    </w:p>
    <w:p>
      <w:pPr>
        <w:pStyle w:val="TextBody"/>
        <w:bidi w:val="0"/>
        <w:spacing w:lineRule="auto" w:line="288" w:before="180" w:after="180"/>
        <w:jc w:val="left"/>
        <w:rPr>
          <w:rFonts w:ascii="Arial;sans-serif" w:hAnsi="Arial;sans-serif"/>
          <w:b/>
          <w:color w:val="000000"/>
          <w:sz w:val="18"/>
        </w:rPr>
      </w:pPr>
      <w:r>
        <w:rPr>
          <w:rFonts w:ascii="Arial;sans-serif" w:hAnsi="Arial;sans-serif"/>
          <w:b/>
          <w:color w:val="000000"/>
          <w:sz w:val="18"/>
        </w:rPr>
        <w:t>Rate Reconciliation</w:t>
      </w:r>
    </w:p>
    <w:p>
      <w:pPr>
        <w:pStyle w:val="TextBody"/>
        <w:bidi w:val="0"/>
        <w:spacing w:lineRule="auto" w:line="288" w:before="180" w:after="180"/>
        <w:jc w:val="left"/>
        <w:rPr>
          <w:rFonts w:ascii="Arial;sans-serif" w:hAnsi="Arial;sans-serif"/>
          <w:b w:val="false"/>
          <w:color w:val="000000"/>
          <w:sz w:val="18"/>
        </w:rPr>
      </w:pPr>
      <w:r>
        <w:rPr>
          <w:rFonts w:ascii="Arial;sans-serif" w:hAnsi="Arial;sans-serif"/>
          <w:b w:val="false"/>
          <w:color w:val="000000"/>
          <w:sz w:val="18"/>
        </w:rPr>
        <w:t>The effective income tax rate varies from the U.S. federal statutory rate principally due to the following:</w:t>
      </w:r>
    </w:p>
    <w:tbl>
      <w:tblPr>
        <w:tblW w:w="9561" w:type="dxa"/>
        <w:jc w:val="left"/>
        <w:tblInd w:w="0" w:type="dxa"/>
        <w:tblLayout w:type="fixed"/>
        <w:tblCellMar>
          <w:top w:w="28" w:type="dxa"/>
          <w:left w:w="28" w:type="dxa"/>
          <w:bottom w:w="28" w:type="dxa"/>
          <w:right w:w="28" w:type="dxa"/>
        </w:tblCellMar>
      </w:tblPr>
      <w:tblGrid>
        <w:gridCol w:w="1959"/>
        <w:gridCol w:w="1717"/>
        <w:gridCol w:w="1723"/>
        <w:gridCol w:w="255"/>
        <w:gridCol w:w="256"/>
        <w:gridCol w:w="271"/>
        <w:gridCol w:w="109"/>
        <w:gridCol w:w="109"/>
        <w:gridCol w:w="109"/>
        <w:gridCol w:w="211"/>
        <w:gridCol w:w="466"/>
        <w:gridCol w:w="109"/>
        <w:gridCol w:w="109"/>
        <w:gridCol w:w="109"/>
        <w:gridCol w:w="109"/>
        <w:gridCol w:w="255"/>
        <w:gridCol w:w="256"/>
        <w:gridCol w:w="271"/>
        <w:gridCol w:w="109"/>
        <w:gridCol w:w="109"/>
        <w:gridCol w:w="109"/>
        <w:gridCol w:w="211"/>
        <w:gridCol w:w="466"/>
        <w:gridCol w:w="154"/>
      </w:tblGrid>
      <w:tr>
        <w:trPr/>
        <w:tc>
          <w:tcPr>
            <w:tcW w:w="195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federal statutory income tax</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Increase (decrease) due to:</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State income taxes, net of federal income tax benefit</w:t>
            </w:r>
            <w:r>
              <w:rPr>
                <w:rFonts w:ascii="Arial;sans-serif" w:hAnsi="Arial;sans-serif"/>
                <w:b w:val="false"/>
                <w:color w:val="000000"/>
                <w:sz w:val="12"/>
              </w:rPr>
              <w:t>(a)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PTC</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ITC, including deferred taxes on basis differences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Share-based payment awards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Excess officers compensation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Qualified NDT fund income and losses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Effective income tax</w:t>
            </w:r>
            <w:r>
              <w:rPr>
                <w:rFonts w:ascii="Arial;sans-serif" w:hAnsi="Arial;sans-serif"/>
                <w:b w:val="false"/>
                <w:color w:val="000000"/>
                <w:sz w:val="12"/>
              </w:rPr>
              <w:t>(b)</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61" w:type="dxa"/>
        <w:jc w:val="left"/>
        <w:tblInd w:w="0" w:type="dxa"/>
        <w:tblLayout w:type="fixed"/>
        <w:tblCellMar>
          <w:top w:w="28" w:type="dxa"/>
          <w:left w:w="28" w:type="dxa"/>
          <w:bottom w:w="28" w:type="dxa"/>
          <w:right w:w="28" w:type="dxa"/>
        </w:tblCellMar>
      </w:tblPr>
      <w:tblGrid>
        <w:gridCol w:w="1959"/>
        <w:gridCol w:w="1717"/>
        <w:gridCol w:w="1723"/>
        <w:gridCol w:w="255"/>
        <w:gridCol w:w="256"/>
        <w:gridCol w:w="271"/>
        <w:gridCol w:w="109"/>
        <w:gridCol w:w="109"/>
        <w:gridCol w:w="109"/>
        <w:gridCol w:w="211"/>
        <w:gridCol w:w="466"/>
        <w:gridCol w:w="109"/>
        <w:gridCol w:w="109"/>
        <w:gridCol w:w="109"/>
        <w:gridCol w:w="109"/>
        <w:gridCol w:w="255"/>
        <w:gridCol w:w="256"/>
        <w:gridCol w:w="271"/>
        <w:gridCol w:w="109"/>
        <w:gridCol w:w="109"/>
        <w:gridCol w:w="109"/>
        <w:gridCol w:w="211"/>
        <w:gridCol w:w="466"/>
        <w:gridCol w:w="154"/>
      </w:tblGrid>
      <w:tr>
        <w:trPr/>
        <w:tc>
          <w:tcPr>
            <w:tcW w:w="195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U.S. federal statutory income tax</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Increase (decrease) due to:</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State income taxes, net of federal income tax benefit</w:t>
            </w:r>
            <w:r>
              <w:rPr>
                <w:rFonts w:ascii="Arial;sans-serif" w:hAnsi="Arial;sans-serif"/>
                <w:b w:val="false"/>
                <w:color w:val="000000"/>
                <w:sz w:val="12"/>
              </w:rPr>
              <w:t>(a)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tax effects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credits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PTC</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ITC, including deferred taxes on basis differences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Nontaxable or nondeductible items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Share-based payment awards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Excess officers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Qualified NDT fund income and losses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Effective income tax</w:t>
            </w:r>
            <w:r>
              <w:rPr>
                <w:rFonts w:ascii="Arial;sans-serif" w:hAnsi="Arial;sans-serif"/>
                <w:b w:val="false"/>
                <w:color w:val="000000"/>
                <w:sz w:val="12"/>
              </w:rPr>
              <w:t>(b)</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 2026, state taxes in California, Massachusetts, and New York made up the majority (greater than 50%) of the tax effect in this category. In 2025, state taxes in Illinois, Maryland, Massachusetts, California, Pennsylvania, and New Jersey made up the majority (greater than 50%) of the tax effect in this category.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(b)Amounts may not recalculate due to rounding.</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08025"/>
                <wp:effectExtent l="0" t="0" r="0" b="0"/>
                <wp:wrapNone/>
                <wp:docPr id="30" name="Frame30"/>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10 — Income Taxes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Other Tax Matters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Tax Matters Agreement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connection with the corporate separation transaction, we entered into a TMA with Exelon. The TMA governs the respective rights, responsibilities, and obligations between us and Exelon after the separation with respect to tax liabilities and benefits, tax attributes, tax returns, tax contests and other tax sharing regarding U.S. federal, state, local and foreign income taxes, other tax matters and related tax returns.</w:t>
      </w:r>
    </w:p>
    <w:p>
      <w:pPr>
        <w:pStyle w:val="TextBody"/>
        <w:bidi w:val="0"/>
        <w:spacing w:lineRule="auto" w:line="288" w:before="180" w:after="180"/>
        <w:jc w:val="both"/>
        <w:rPr/>
      </w:pPr>
      <w:r>
        <w:rPr>
          <w:rFonts w:ascii="Arial;sans-serif" w:hAnsi="Arial;sans-serif"/>
          <w:b/>
          <w:i/>
          <w:color w:val="000000"/>
          <w:sz w:val="18"/>
        </w:rPr>
        <w:t xml:space="preserve">Responsibility and Indemnification for Taxes. </w:t>
      </w:r>
      <w:r>
        <w:rPr>
          <w:rFonts w:ascii="Arial;sans-serif" w:hAnsi="Arial;sans-serif"/>
          <w:b w:val="false"/>
          <w:color w:val="000000"/>
          <w:sz w:val="18"/>
        </w:rPr>
        <w:t>As a former subsidiary of Exelon, we have joint and several liability with Exelon to the IRS and certain state jurisdictions relating to the taxable periods in which we were included in joint federal and state filings. However, the TMA specifies the portion of this tax liability for which we will bear contractual responsibility, and we and Exelon agreed to indemnify each other against any amounts for which such indemnified party is not responsible. Specifically, we will be liable for taxes due and payable in connection with tax returns that we are required to file. We will also be liable for our share of certain taxes required to be paid by Exelon with respect to taxable years or periods (or portions thereof) ending on or prior to the separation to the extent that we would have been responsible for such taxes under the Exelon tax sharing agreement then existing. As of June 30, 2026 and December 31, 2025, respectively, our Consolidated Balance Sheets reflect $32 million and $43 million in Other deferred credits and other liabilities, for tax liabilities where we maintain contractual responsibility to Exelon.</w:t>
      </w:r>
    </w:p>
    <w:p>
      <w:pPr>
        <w:pStyle w:val="TextBody"/>
        <w:bidi w:val="0"/>
        <w:spacing w:lineRule="auto" w:line="288" w:before="180" w:after="180"/>
        <w:jc w:val="both"/>
        <w:rPr/>
      </w:pPr>
      <w:r>
        <w:rPr>
          <w:rFonts w:ascii="Arial;sans-serif" w:hAnsi="Arial;sans-serif"/>
          <w:b/>
          <w:i/>
          <w:color w:val="000000"/>
          <w:sz w:val="18"/>
        </w:rPr>
        <w:t xml:space="preserve">Tax Refunds and Attributes. </w:t>
      </w:r>
      <w:r>
        <w:rPr>
          <w:rFonts w:ascii="Arial;sans-serif" w:hAnsi="Arial;sans-serif"/>
          <w:b w:val="false"/>
          <w:color w:val="000000"/>
          <w:sz w:val="18"/>
        </w:rPr>
        <w:t>The TMA provides for the allocation of certain pre-closing tax attributes between us and Exelon. Tax attributes will be allocated in accordance with the principles set forth in the existing Exelon tax sharing agreement, unless otherwise required by law. Under the TMA, we will be entitled to refunds for taxes for which we are responsible. In addition, it is expected that Exelon will have tax attributes that may be used to offset Exelon’s future tax liabilities. A significant portion of such attributes were generated by our business. In March 2026, we adjusted our receivable under the TMA as a result of IRS Notice 2026-7, as discussed below. During the second quarter of 2026 and 2025, we received payments for tax attributes utilized by Exelon related to the 2025 and 2024 tax years of $53 million and $128 million, respectively. As of June 30, 2026 and December 31, 2025, respectively, we had $98 million and $175 million in Accounts receivable, net and $279 million and $21 million in Other deferred debits and other assets for the reclassified tax attributes expected to be utilized by Exelon after separation in accordance with the terms of the TMA.</w:t>
      </w:r>
    </w:p>
    <w:p>
      <w:pPr>
        <w:pStyle w:val="TextBody"/>
        <w:bidi w:val="0"/>
        <w:spacing w:lineRule="auto" w:line="288" w:before="180" w:after="180"/>
        <w:jc w:val="both"/>
        <w:rPr/>
      </w:pPr>
      <w:r>
        <w:rPr>
          <w:rFonts w:ascii="Arial;sans-serif" w:hAnsi="Arial;sans-serif"/>
          <w:b/>
          <w:i/>
          <w:color w:val="000000"/>
          <w:sz w:val="18"/>
        </w:rPr>
        <w:t>IRS Notice 2026-7.</w:t>
      </w:r>
      <w:r>
        <w:rPr>
          <w:color w:val="000000"/>
        </w:rPr>
        <w:t xml:space="preserve"> </w:t>
      </w:r>
      <w:r>
        <w:rPr>
          <w:rFonts w:ascii="Arial;sans-serif" w:hAnsi="Arial;sans-serif"/>
          <w:b w:val="false"/>
          <w:color w:val="000000"/>
          <w:sz w:val="18"/>
        </w:rPr>
        <w:t>In February 2026, the IRS issued Notice 2026</w:t>
        <w:noBreakHyphen/>
        <w:t xml:space="preserve">7 (the Notice), which provides guidance on the implementation of the corporate alternative minimum tax (CAMT). The Notice permits taxpayers to deduct repair and maintenance costs under tax law principles in determining adjusted financial statement income and applies retroactively to previously filed tax returns. As a result of this Notice, Exelon amended its 2023 and 2024 tax returns to reflect less CAMT and thus lower utilization of previously refunded tax attributes.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We received a demand letter from Exelon in February 2026, and as a result, in March 2026 we remitted $235 million to Exelon under the TMA related to prior periods. We increased our receivable for the $235 million in the first quarter of 2026, as reflected above, as we expect Exelon to pay us as it utilizes these tax attributes in future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08025"/>
                <wp:effectExtent l="0" t="0" r="0" b="0"/>
                <wp:wrapNone/>
                <wp:docPr id="31" name="Frame31"/>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29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11 — Retirement Benefits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11. Retirement Benefits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Components of Net Periodic Benefit (Credits) Costs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See Note 1 — Basis of Presentation of our 2025 Form 10-K for additional information on where we report the service cost and other non-service cost (credit) components for all plans.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The following tables present the components of our net periodic benefit (credit) cost for the three and six months ended June 30, 2026 and 2025. The amounts below are shown prior to capitalization and co-owner allocations, the effects of which were not material for any of the periods presented. </w:t>
      </w:r>
    </w:p>
    <w:tbl>
      <w:tblPr>
        <w:tblW w:w="10205" w:type="dxa"/>
        <w:jc w:val="left"/>
        <w:tblInd w:w="0" w:type="dxa"/>
        <w:tblLayout w:type="fixed"/>
        <w:tblCellMar>
          <w:top w:w="28" w:type="dxa"/>
          <w:left w:w="28" w:type="dxa"/>
          <w:bottom w:w="28" w:type="dxa"/>
          <w:right w:w="28" w:type="dxa"/>
        </w:tblCellMar>
      </w:tblPr>
      <w:tblGrid>
        <w:gridCol w:w="1561"/>
        <w:gridCol w:w="1256"/>
        <w:gridCol w:w="1225"/>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44"/>
        <w:gridCol w:w="540"/>
        <w:gridCol w:w="126"/>
        <w:gridCol w:w="126"/>
        <w:gridCol w:w="126"/>
        <w:gridCol w:w="126"/>
        <w:gridCol w:w="244"/>
        <w:gridCol w:w="417"/>
        <w:gridCol w:w="182"/>
      </w:tblGrid>
      <w:tr>
        <w:trPr/>
        <w:tc>
          <w:tcPr>
            <w:tcW w:w="156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OPEB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Pension Benefits and OPEB</w:t>
            </w:r>
          </w:p>
        </w:tc>
      </w:tr>
      <w:tr>
        <w:trPr/>
        <w:tc>
          <w:tcPr>
            <w:tcW w:w="4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Three Months Ended June 30,</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Components of net periodic benefit (credit) cost:</w:t>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Non-service components of pension benefits &amp; OPEB (credit) cost: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Prior service (credit) cost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Actuarial (gain)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Non-service components of pension benefits &amp; OPEB (credit) cost</w:t>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periodic benefit (credit)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466" w:type="dxa"/>
            <w:gridSpan w:val="18"/>
            <w:tcBorders/>
          </w:tcPr>
          <w:p>
            <w:pPr>
              <w:pStyle w:val="TableContents"/>
              <w:bidi w:val="0"/>
              <w:spacing w:before="0" w:after="283"/>
              <w:jc w:val="left"/>
              <w:rPr>
                <w:sz w:val="4"/>
                <w:szCs w:val="4"/>
              </w:rPr>
            </w:pPr>
            <w:r>
              <w:rPr>
                <w:sz w:val="4"/>
                <w:szCs w:val="4"/>
              </w:rPr>
            </w:r>
          </w:p>
        </w:tc>
      </w:tr>
      <w:tr>
        <w:trPr/>
        <w:tc>
          <w:tcPr>
            <w:tcW w:w="40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Six Months Ended June 30,</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Components of net periodic benefit (credit) cost: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Non-service components of pension benefits &amp; OPEB (credit) cost:</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Prior service (credit) cost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Actuarial (gain) loss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4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Non-service components of pension benefits &amp; OPEB (credit) cost</w:t>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periodic benefit (credit)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12. Derivative Financial Instruments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use derivative instruments to manage commodity price risk and interest rate risk related to ongoing business operations.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Authoritative guidance requires that derivative instruments be recognized as either assets or liabilities at fair value, with changes in fair value of the derivative recognized in earnings immediately. Other accounting treatments, including NPNS, are available through special election and designation, provided they meet specific, restrictive criteria both at the time of designation and on an ongoing basis. All derivative instruments, excluding NPNS, are recorded at fair value through earnings. For all NPNS derivative instruments, accounts receivable or accounts payable are recorded when derivatives settle, and revenue or expense is recognized in earnings as the underlying physical commodity is delivered.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08025"/>
                <wp:effectExtent l="0" t="0" r="0" b="0"/>
                <wp:wrapNone/>
                <wp:docPr id="32" name="Frame32"/>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12 — Derivative Financial Instruments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Authoritative guidance about offsetting assets and liabilities requires the fair value of derivative instruments to be shown in the Combined Notes to Consolidated Financial Statements on a gross basis, even when the derivative instruments are subject to legally enforceable master netting agreements and qualify for net presentation in the Consolidated Balance Sheets. A master netting agreement is an agreement between two counterparties that may have derivative and non-derivative contracts with each other providing for the net settlement of all referenced contracts via one payment stream, which takes place as the contracts deliver, when collateral is requested or in the event of default. In the tables below, which present fair value balances, our energy-related economic hedges are shown gross. The impact of the netting of fair value balances with the same counterparty that are subject to legally enforceable master netting agreements, as well as netting of cash collateral, including margin on exchange positions, is aggregated in the collateral and netting columns.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Our use of cash collateral is generally unrestricted unless we were downgraded below investment grade. As our senior unsecured debt rating is currently rated at BBB+ and Baa1 by S&amp;P and Moody's, respectively, it would take a three-notch downgrade by S&amp;P or Moody's for our rating to go below investment grade.</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Commodity Price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employ established policies and procedures to manage our risks associated with market fluctuations in commodity prices by entering into physical and financial derivative contracts, including swaps, futures, forwards, options, and short-term and long-term commitments to purchase and sell energy and energy-related products. We believe these instruments, which are either determined to be non-derivative or classified as economic hedges, mitigate exposure to fluctuations in commodity prices.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general, increases and decreases in forward market prices have a positive and negative impact, respectively, on owned and contracted generation positions that have not been hedged. Beginning in 2024, our existing nuclear fleet is eligible for a nuclear PTC, an important tool in managing commodity price risk for each nuclear unit not already receiving state support. The nuclear PTC provides increasing levels of support as unit revenues decline below levels established in the IRA and is further adjusted for inflation annually through the duration of the program based on the GDP price deflator for the preceding calendar year. See Note 6 — Government Assistance for additional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the price risk associated with our load serving contracts, non-nuclear generation, and any residual price risk for our nuclear generation that the nuclear PTC and state programs may not fully mitigate. We also enter into transactions that further optimize the economic benefits of our overall portfolio.</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To the extent the amount of energy we produce or procure differs from the amount of energy we have contracted to sell, we are exposed to market fluctuations in the prices of electricity, natural gas, and other commodities. We use a variety of derivative and non-derivative instruments to manage the commodity price risk of our electric generation facilities, including power and gas sales, fuel and power purchases, natural gas transportation and pipeline capacity agreements, and other energy-related products marketed and purchased. To manage these risks, we may enter into fixed-price derivative or non-derivative contracts to hedge the variability in future cash flows from expected sales of power and gas and purchases of power and fuel. The objectives for executing such hedges include fixing the price for a portion of anticipated future commodity sales and purchases at a level that provides an acceptable return. We are also exposed to differences between the locational settlement prices of certain economic hedges and the hedged generating units. This price difference is actively managed through other instruments which include derivative congestion products, whose changes in fair value are recognized in earnings each period, and auction revenue rights, which are accounted for on an accrual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08025"/>
                <wp:effectExtent l="0" t="0" r="0" b="0"/>
                <wp:wrapNone/>
                <wp:docPr id="33" name="Frame33"/>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12 — Derivative Financial Instruments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provide a summary of the commodity derivative fair value balances recorded as of June 30, 2026 and December 31, 2025:</w:t>
      </w:r>
    </w:p>
    <w:tbl>
      <w:tblPr>
        <w:tblW w:w="8641" w:type="dxa"/>
        <w:jc w:val="center"/>
        <w:tblInd w:w="0" w:type="dxa"/>
        <w:tblLayout w:type="fixed"/>
        <w:tblCellMar>
          <w:top w:w="28" w:type="dxa"/>
          <w:left w:w="28" w:type="dxa"/>
          <w:bottom w:w="28" w:type="dxa"/>
          <w:right w:w="28" w:type="dxa"/>
        </w:tblCellMar>
      </w:tblPr>
      <w:tblGrid>
        <w:gridCol w:w="1144"/>
        <w:gridCol w:w="1007"/>
        <w:gridCol w:w="1014"/>
        <w:gridCol w:w="252"/>
        <w:gridCol w:w="862"/>
        <w:gridCol w:w="130"/>
        <w:gridCol w:w="109"/>
        <w:gridCol w:w="109"/>
        <w:gridCol w:w="109"/>
        <w:gridCol w:w="109"/>
        <w:gridCol w:w="109"/>
        <w:gridCol w:w="211"/>
        <w:gridCol w:w="616"/>
        <w:gridCol w:w="109"/>
        <w:gridCol w:w="109"/>
        <w:gridCol w:w="109"/>
        <w:gridCol w:w="109"/>
        <w:gridCol w:w="211"/>
        <w:gridCol w:w="796"/>
        <w:gridCol w:w="109"/>
        <w:gridCol w:w="109"/>
        <w:gridCol w:w="109"/>
        <w:gridCol w:w="109"/>
        <w:gridCol w:w="211"/>
        <w:gridCol w:w="61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June 30, 2026</w:t>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Economic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Collateral</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Netting</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assets (current)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15,197 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Derivative assets (noncurrent)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derivative assets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23,628 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Derivative liabilities (current)</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(15,279)</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liabilities (noncurrent)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Total derivative liabilities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(23,391)</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Total derivative net assets (liabilities)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December 31, 2025</w:t>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assets (current)</w:t>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assets (noncurrent)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derivative assets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liabilities (current)</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(7,642)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liabilities (noncurrent)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(5,585)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derivative liabilities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(13,227)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derivative net assets (liabilities)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(848)</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(a)We net all available amounts allowed in our Consolidated Balance Sheets in accordance with authoritative guidance for derivatives. These amounts include unrealized derivative transactions with the same counterparty under legally enforceable master netting agreements and cash collateral.</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summarizes the net buy/(sell) notional position of commodity derivative transactions, excluding our NPNS derivatives that are not recorded at fair value, as of June 30, 2026 and December 31, 2025:</w:t>
      </w:r>
    </w:p>
    <w:tbl>
      <w:tblPr>
        <w:tblW w:w="5733" w:type="dxa"/>
        <w:jc w:val="left"/>
        <w:tblInd w:w="0" w:type="dxa"/>
        <w:tblLayout w:type="fixed"/>
        <w:tblCellMar>
          <w:top w:w="28" w:type="dxa"/>
          <w:left w:w="28" w:type="dxa"/>
          <w:bottom w:w="28" w:type="dxa"/>
          <w:right w:w="28" w:type="dxa"/>
        </w:tblCellMar>
      </w:tblPr>
      <w:tblGrid>
        <w:gridCol w:w="450"/>
        <w:gridCol w:w="396"/>
        <w:gridCol w:w="398"/>
        <w:gridCol w:w="330"/>
        <w:gridCol w:w="330"/>
        <w:gridCol w:w="330"/>
        <w:gridCol w:w="228"/>
        <w:gridCol w:w="228"/>
        <w:gridCol w:w="228"/>
        <w:gridCol w:w="444"/>
        <w:gridCol w:w="444"/>
        <w:gridCol w:w="446"/>
        <w:gridCol w:w="109"/>
        <w:gridCol w:w="109"/>
        <w:gridCol w:w="109"/>
        <w:gridCol w:w="337"/>
        <w:gridCol w:w="337"/>
        <w:gridCol w:w="480"/>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Total Net Position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Commodity Type</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Unit of Measure</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Electricity</w:t>
            </w:r>
            <w:r>
              <w:rPr>
                <w:rFonts w:ascii="Arial;sans-serif" w:hAnsi="Arial;sans-serif"/>
                <w:b w:val="false"/>
                <w:color w:val="000000"/>
                <w:sz w:val="12"/>
              </w:rPr>
              <w:t>(a)</w:t>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MWh</w:t>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Natural Gas</w:t>
            </w:r>
            <w:r>
              <w:rPr>
                <w:rFonts w:ascii="Arial;sans-serif" w:hAnsi="Arial;sans-serif"/>
                <w:b w:val="false"/>
                <w:color w:val="000000"/>
                <w:sz w:val="12"/>
              </w:rPr>
              <w:t>(a)</w:t>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1,561</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MMBtu</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Emissions</w:t>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Short Ton</w:t>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(a)The increase in our net notional position as of June 30, 2026 compared to December 31, 2025 is primarily driven by derivatives acquired from Calpine. See Note 2 — Mergers, Acquisitions, and Dispositions for additional information.</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Economic Hedges (Commodity Price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For the three and six months ended June 30, 2026 and 2025, we recognized the following net pre-tax commodity unrealized gains (losses), which are also included in the Net fair value changes related to derivatives line in the Consolidated Statements of Cash Flows.</w:t>
      </w:r>
    </w:p>
    <w:tbl>
      <w:tblPr>
        <w:tblW w:w="6587" w:type="dxa"/>
        <w:jc w:val="center"/>
        <w:tblInd w:w="0" w:type="dxa"/>
        <w:tblLayout w:type="fixed"/>
        <w:tblCellMar>
          <w:top w:w="28" w:type="dxa"/>
          <w:left w:w="28" w:type="dxa"/>
          <w:bottom w:w="28" w:type="dxa"/>
          <w:right w:w="28" w:type="dxa"/>
        </w:tblCellMar>
      </w:tblPr>
      <w:tblGrid>
        <w:gridCol w:w="819"/>
        <w:gridCol w:w="721"/>
        <w:gridCol w:w="725"/>
        <w:gridCol w:w="211"/>
        <w:gridCol w:w="542"/>
        <w:gridCol w:w="109"/>
        <w:gridCol w:w="109"/>
        <w:gridCol w:w="109"/>
        <w:gridCol w:w="109"/>
        <w:gridCol w:w="211"/>
        <w:gridCol w:w="467"/>
        <w:gridCol w:w="109"/>
        <w:gridCol w:w="109"/>
        <w:gridCol w:w="109"/>
        <w:gridCol w:w="109"/>
        <w:gridCol w:w="211"/>
        <w:gridCol w:w="466"/>
        <w:gridCol w:w="109"/>
        <w:gridCol w:w="109"/>
        <w:gridCol w:w="109"/>
        <w:gridCol w:w="109"/>
        <w:gridCol w:w="211"/>
        <w:gridCol w:w="54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Income Statement Location</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shd w:fill="FFFFFF" w:val="clear"/>
              </w:rPr>
            </w:pPr>
            <w:r>
              <w:rPr>
                <w:rFonts w:ascii="Arial;sans-serif" w:hAnsi="Arial;sans-serif"/>
                <w:b/>
                <w:color w:val="000000"/>
                <w:sz w:val="14"/>
                <w:shd w:fill="FFFFFF" w:val="clear"/>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power and fuel</w:t>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Interest Rate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utilize interest rate swaps to manage our interest rate exposure, which are treated as economic hedges. The notional amounts for interest rate swaps were approximately $4.0 billion and $1.4 billion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08025"/>
                <wp:effectExtent l="0" t="0" r="0" b="0"/>
                <wp:wrapNone/>
                <wp:docPr id="34" name="Frame34"/>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12 — Derivative Financial Instruments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derivative assets and liabilities as of June 30, 2026 and December 31, 2025 and the gains and losses associated with management of interest rate risk for the three and six months ended June 30, 2026 and 2025 were not material. The gains and losses associated with management of interest rate risk are included in the Net fair value changes related to derivatives line in the Consolidated Statements of Cash Flows.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Credit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would be exposed to credit-related losses in the event of non-performance by counterparties on executed derivative instruments. The credit exposure of derivative contracts, before collateral, is represented by the fair value of contracts as of the reporting date.</w:t>
      </w:r>
    </w:p>
    <w:p>
      <w:pPr>
        <w:pStyle w:val="TextBody"/>
        <w:bidi w:val="0"/>
        <w:spacing w:lineRule="auto" w:line="288" w:before="180" w:after="180"/>
        <w:jc w:val="both"/>
        <w:rPr/>
      </w:pPr>
      <w:r>
        <w:rPr>
          <w:rFonts w:ascii="Arial;sans-serif" w:hAnsi="Arial;sans-serif"/>
          <w:b w:val="false"/>
          <w:color w:val="000000"/>
          <w:sz w:val="18"/>
        </w:rPr>
        <w:t xml:space="preserve">For commodity derivatives, we enter into enabling agreements that allow for payment netting with our counterparties, which reduces our exposure to counterparty risk by providing for the offset of amounts payable to the counterparty against amounts receivable from the counterparty. Typically, each enabling agreement is for a specific commodity and, with respect to each individual counterparty, netting is limited </w:t>
      </w:r>
      <w:r>
        <w:rPr>
          <w:rFonts w:ascii="Arial;sans-serif" w:hAnsi="Arial;sans-serif"/>
          <w:b w:val="false"/>
          <w:color w:val="000000"/>
          <w:sz w:val="18"/>
          <w:shd w:fill="FFFFFF" w:val="clear"/>
        </w:rPr>
        <w:t>to t</w:t>
      </w:r>
      <w:r>
        <w:rPr>
          <w:rFonts w:ascii="Arial;sans-serif" w:hAnsi="Arial;sans-serif"/>
          <w:b w:val="false"/>
          <w:color w:val="000000"/>
          <w:sz w:val="18"/>
        </w:rPr>
        <w:t>ransactions involving that specific commodity product, except where master netting agreements exist with a counterparty that allows for cross product netting. In addition to right of offset language in the enabling agreement, our credit department establishes credit limits, margining thresholds and collateral requirements for each counterparty, which are defined in the derivative contracts. Counterparty credit limits are based on an internal credit review process that considers a variety of factors, including the results of a scoring model, leverage, liquidity, profitability, credit ratings by credit rating agencies, and other risk management criteria. To the extent that a counterparty’s margining thresholds are exceeded, the counterparty is required to post collateral with us, as specified in each enabling agreement. Our credit department monitors current and forward credit exposure to counterparties and their affiliates, both on an individual and an aggregate basis.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provide information on the credit exposure for derivative instruments, inclusive of payables and receivables, net of collateral and instruments that are subject to master netting agreements, as of June 30, 2026. The amounts in the tables below exclude credit risk exposure from individual retail counterparties, NPNS contracts, forward values on non-derivative contracts and exposure through RTOs, ISOs, as well as commodity exchanges. The tables further delineate that exposure by credit rating of the counterparties and provide guidance on the concentration of credit risk to individual counterparties.</w:t>
      </w:r>
    </w:p>
    <w:tbl>
      <w:tblPr>
        <w:tblW w:w="10205" w:type="dxa"/>
        <w:jc w:val="left"/>
        <w:tblInd w:w="0" w:type="dxa"/>
        <w:tblLayout w:type="fixed"/>
        <w:tblCellMar>
          <w:top w:w="28" w:type="dxa"/>
          <w:left w:w="28" w:type="dxa"/>
          <w:bottom w:w="28" w:type="dxa"/>
          <w:right w:w="28" w:type="dxa"/>
        </w:tblCellMar>
      </w:tblPr>
      <w:tblGrid>
        <w:gridCol w:w="929"/>
        <w:gridCol w:w="682"/>
        <w:gridCol w:w="373"/>
        <w:gridCol w:w="296"/>
        <w:gridCol w:w="867"/>
        <w:gridCol w:w="155"/>
        <w:gridCol w:w="109"/>
        <w:gridCol w:w="109"/>
        <w:gridCol w:w="109"/>
        <w:gridCol w:w="238"/>
        <w:gridCol w:w="527"/>
        <w:gridCol w:w="123"/>
        <w:gridCol w:w="109"/>
        <w:gridCol w:w="109"/>
        <w:gridCol w:w="109"/>
        <w:gridCol w:w="212"/>
        <w:gridCol w:w="619"/>
        <w:gridCol w:w="109"/>
        <w:gridCol w:w="109"/>
        <w:gridCol w:w="109"/>
        <w:gridCol w:w="109"/>
        <w:gridCol w:w="606"/>
        <w:gridCol w:w="606"/>
        <w:gridCol w:w="607"/>
        <w:gridCol w:w="109"/>
        <w:gridCol w:w="109"/>
        <w:gridCol w:w="109"/>
        <w:gridCol w:w="491"/>
        <w:gridCol w:w="1087"/>
        <w:gridCol w:w="370"/>
      </w:tblGrid>
      <w:tr>
        <w:trPr/>
        <w:tc>
          <w:tcPr>
            <w:tcW w:w="92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Rating as of June 30, 2026</w:t>
            </w:r>
          </w:p>
        </w:tc>
        <w:tc>
          <w:tcPr>
            <w:tcW w:w="13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Total Exposure Before Credit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Credit Collateral</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Net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Number of Counterparties Greater than 10% of Net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Net Exposure of Counterparties Greater than 10% of Net Exposure</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 grade</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Non-investment grade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 external ratings</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Internally rated — investment grade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Internally rated — non-investment grade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(a)As of June 30, 2026, credit collateral held from counterparties where we had credit exposure included $29 million of cash and $120 million of letters of credit.</w:t>
      </w:r>
    </w:p>
    <w:tbl>
      <w:tblPr>
        <w:tblW w:w="5775" w:type="dxa"/>
        <w:jc w:val="center"/>
        <w:tblInd w:w="0" w:type="dxa"/>
        <w:tblLayout w:type="fixed"/>
        <w:tblCellMar>
          <w:top w:w="28" w:type="dxa"/>
          <w:left w:w="28" w:type="dxa"/>
          <w:bottom w:w="28" w:type="dxa"/>
          <w:right w:w="28" w:type="dxa"/>
        </w:tblCellMar>
      </w:tblPr>
      <w:tblGrid>
        <w:gridCol w:w="1578"/>
        <w:gridCol w:w="1389"/>
        <w:gridCol w:w="1398"/>
        <w:gridCol w:w="303"/>
        <w:gridCol w:w="886"/>
        <w:gridCol w:w="221"/>
      </w:tblGrid>
      <w:tr>
        <w:trPr/>
        <w:tc>
          <w:tcPr>
            <w:tcW w:w="15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Net Credit Exposure by Type of Counterparty</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As of June 30, 2026</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Investor-owned utilities, marketers, power producers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Financial Institutions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cooperatives and municipalities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2,406 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08025"/>
                <wp:effectExtent l="0" t="0" r="0" b="0"/>
                <wp:wrapNone/>
                <wp:docPr id="35" name="Frame35"/>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12 — Derivative Financial Instruments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Credit-Risk-Related Contingent Features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part of the normal course of business, we routinely enter into physically and financially settled contracts for the purchase and sale of capacity, electricity, fuels, emissions allowances, and other energy-related products. Certain of our derivative instruments contain provisions that require us to post collateral. We also enter into commodity transactions on exchanges where the exchanges act as the counterparty to each trade. Transactions on the exchanges must adhere to comprehensive collateral and margining requirements. This collateral may be posted in the form of cash or credit support with thresholds contingent upon our credit ratings from S&amp;P and Moody's. The collateral and credit support requirements vary by contract and by counterparty. These credit-risk-related contingent features stipulate that if we were to be downgraded or lose our investment grade credit ratings (based on our senior unsecured debt rating), we would be required to provide additional collateral. This incremental collateral requirement allows for the offsetting of derivative instruments that are assets with the same counterparty, where the contractual right of offset exists under applicable master netting agreements. In the absence of expressly agreed-to provisions that specify the collateral that must be provided, collateral requested will be a function of the facts and circumstances of the situation at the time of the demand. In such cases, we believe an amount of several months of future payments (e.g., capacity payments) rather than a calculation of fair value is a reasonable estimate for the contingent collateral obligation, which has been factored into the disclosure below.</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aggregate fair value of all derivative instruments with credit-risk-related contingent features in a liability position that are not fully collateralized (excluding transactions on the exchanges that are fully collateralized) is detailed in the table below:</w:t>
      </w:r>
    </w:p>
    <w:tbl>
      <w:tblPr>
        <w:tblW w:w="9122" w:type="dxa"/>
        <w:jc w:val="center"/>
        <w:tblInd w:w="0" w:type="dxa"/>
        <w:tblLayout w:type="fixed"/>
        <w:tblCellMar>
          <w:top w:w="28" w:type="dxa"/>
          <w:left w:w="28" w:type="dxa"/>
          <w:bottom w:w="28" w:type="dxa"/>
          <w:right w:w="28" w:type="dxa"/>
        </w:tblCellMar>
      </w:tblPr>
      <w:tblGrid>
        <w:gridCol w:w="2321"/>
        <w:gridCol w:w="2040"/>
        <w:gridCol w:w="2044"/>
        <w:gridCol w:w="211"/>
        <w:gridCol w:w="691"/>
        <w:gridCol w:w="109"/>
        <w:gridCol w:w="109"/>
        <w:gridCol w:w="109"/>
        <w:gridCol w:w="109"/>
        <w:gridCol w:w="275"/>
        <w:gridCol w:w="903"/>
        <w:gridCol w:w="201"/>
      </w:tblGrid>
      <w:tr>
        <w:trPr/>
        <w:tc>
          <w:tcPr>
            <w:tcW w:w="2321"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Credit-Risk-Related Contingent Features</w:t>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Gross fair value of derivative contracts containing this feature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Offsetting fair value of derivative contracts under master netting arrangements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fair value of derivative contracts containing this feature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(753)</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we posted or held the following amounts of cash collateral and letters of credit on derivative contracts with external counterparties, after giving consideration to offsetting derivative and non-derivative positions under master netting agreements.</w:t>
      </w:r>
    </w:p>
    <w:tbl>
      <w:tblPr>
        <w:tblW w:w="10205" w:type="dxa"/>
        <w:jc w:val="left"/>
        <w:tblInd w:w="0" w:type="dxa"/>
        <w:tblLayout w:type="fixed"/>
        <w:tblCellMar>
          <w:top w:w="28" w:type="dxa"/>
          <w:left w:w="28" w:type="dxa"/>
          <w:bottom w:w="28" w:type="dxa"/>
          <w:right w:w="28" w:type="dxa"/>
        </w:tblCellMar>
      </w:tblPr>
      <w:tblGrid>
        <w:gridCol w:w="2761"/>
        <w:gridCol w:w="2401"/>
        <w:gridCol w:w="2417"/>
        <w:gridCol w:w="221"/>
        <w:gridCol w:w="646"/>
        <w:gridCol w:w="114"/>
        <w:gridCol w:w="109"/>
        <w:gridCol w:w="109"/>
        <w:gridCol w:w="109"/>
        <w:gridCol w:w="283"/>
        <w:gridCol w:w="827"/>
        <w:gridCol w:w="208"/>
      </w:tblGrid>
      <w:tr>
        <w:trPr/>
        <w:tc>
          <w:tcPr>
            <w:tcW w:w="27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collateral posted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Letters of credit posted</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collateral held</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Letters of credit held</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Additional collateral required in the event of a credit downgrade below investment grade (at BB+/Ba1)</w:t>
            </w:r>
            <w:r>
              <w:rPr>
                <w:rFonts w:ascii="Arial;sans-serif" w:hAnsi="Arial;sans-serif"/>
                <w:b w:val="false"/>
                <w:color w:val="000000"/>
                <w:sz w:val="12"/>
              </w:rPr>
              <w:t>(a)(b)(c)</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(a)Certain of our contracts contain provisions that allow a counterparty to request additional collateral when there has been a subjective determination that our credit quality has deteriorated, generally termed “adequate assurance”. Due to the subjective nature of these provisions, we estimate the amount of collateral that we may ultimately be required to post in relation to the maximum exposure with the counterparty.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downgrade collateral is inclusive of all contracts in a liability position regardless of accounting treatment and excludes any contracts with individual retail counterparties.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(c)A loss of investment grade credit rating would require a three-notch downgrade from current levels of BBB+ and Baa1 at S&amp;P and Moody's, respectively.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routinely enter into supply forward contracts with certain utilities with one-sided collateral postings only from us. If market prices fall below the benchmark price levels in these contracts, the utilities are not required to post collateral. However, when market prices rise above the benchmark price levels, we are required to post collateral once certain unsecured credit limits are exceeded.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08025"/>
                <wp:effectExtent l="0" t="0" r="0" b="0"/>
                <wp:wrapNone/>
                <wp:docPr id="36" name="Frame36"/>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13 — Debt and Credit Agreements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 xml:space="preserve">13. Debt and Credit Agreements </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Long-Term Debt</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Calpine Acquisition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Upon completion of the acquisition of Calpine in January 2026, we assumed approximately $12.6 billion of debt inclusive of approximately $7.6 billion of corporate long-term debt, including senior unsecured and secured notes and corporate term loans in addition to approximately $5.0 billion of various project financing arrangements. Pursuant to the Exchange Offers discussed below, we issued new notes in January 2026 effectively replacing $2.3 billion of Calpine's senior unsecured and secured notes with Constellation senior unsecured notes. Using the proceeds from our January 2026 bond issuance, as discussed below, along with cash on hand and short-term debt, we repaid $2.5 billion of Calpine corporate term loans immediately after the acquisition closing, $1.25 billion of Calpine senior secured first lien notes in February 2026, and $1.4 billion of Calpine senior unsecured notes in March 2026.</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discussed above, the following project financing arrangements were assumed as part of the acquisition:</w:t>
      </w:r>
    </w:p>
    <w:p>
      <w:pPr>
        <w:pStyle w:val="TextBody"/>
        <w:bidi w:val="0"/>
        <w:spacing w:lineRule="auto" w:line="288" w:before="180" w:after="180"/>
        <w:jc w:val="both"/>
        <w:rPr/>
      </w:pPr>
      <w:r>
        <w:rPr>
          <w:rFonts w:ascii="Arial;sans-serif" w:hAnsi="Arial;sans-serif"/>
          <w:b/>
          <w:i/>
          <w:color w:val="000000"/>
          <w:sz w:val="18"/>
        </w:rPr>
        <w:t xml:space="preserve">Geysers Power Company, LLC. </w:t>
      </w:r>
      <w:r>
        <w:rPr>
          <w:rFonts w:ascii="Arial;sans-serif" w:hAnsi="Arial;sans-serif"/>
          <w:b w:val="false"/>
          <w:color w:val="000000"/>
          <w:sz w:val="18"/>
        </w:rPr>
        <w:t xml:space="preserve">We acquired the GPC first lien senior secured term loan facility, which includes a term loan and $250 million letter of credit facility, up to $50 million of which may be used for loans to finance energy storage projects (the sub-facility). At acquisition, outstanding borrowings under the term loan and sub-facility were approximately $1.35 billion and $45 million, respectively. The GPC facility is secured by substantially all of the real and personal property of GPC and subsidiaries, primarily consisting of the Geysers Assets. The facility matures May 2029 and bears interest at SOFR plus 1.625%. As of June 30, 2026, there were $1.3 billion and $43 million of borrowings outstanding under the term loan and sub-facility, respectively. </w:t>
      </w:r>
    </w:p>
    <w:p>
      <w:pPr>
        <w:pStyle w:val="TextBody"/>
        <w:bidi w:val="0"/>
        <w:spacing w:lineRule="auto" w:line="288" w:before="180" w:after="180"/>
        <w:jc w:val="both"/>
        <w:rPr/>
      </w:pPr>
      <w:r>
        <w:rPr>
          <w:rFonts w:ascii="Arial;sans-serif" w:hAnsi="Arial;sans-serif"/>
          <w:b/>
          <w:i/>
          <w:color w:val="000000"/>
          <w:sz w:val="18"/>
        </w:rPr>
        <w:t xml:space="preserve">Calpine Construction Finance Company, L.P. </w:t>
      </w:r>
      <w:r>
        <w:rPr>
          <w:rFonts w:ascii="Arial;sans-serif" w:hAnsi="Arial;sans-serif"/>
          <w:b w:val="false"/>
          <w:color w:val="000000"/>
          <w:sz w:val="18"/>
        </w:rPr>
        <w:t>We acquired the CCFC first lien senior secured term loan facility with $2.1 billion outstanding borrowings at acquisition. The CCFC term loan facility is secured by certain real and personal property of CCFC, primarily seven natural gas-fired power plants. One plant secured under the facility, the Brazos Valley Energy Center (Brazos), f/k/a Jack A. Fusco Energy Center, is subject to sale in accordance with the DOJ resolution. See Note 2 — Mergers, Acquisitions, and Dispositions for additional information. Under the terms of the loan facility, CCFC may require the consent of certain lenders to release Brazos as guarantor depending on the application of net sales proceeds. The term loan matures July 2030 and bears interest at SOFR plus 1.75%. As of June 30, 2026, there was $2.1 billion of borrowings outstanding under the term loan.</w:t>
      </w:r>
    </w:p>
    <w:p>
      <w:pPr>
        <w:pStyle w:val="TextBody"/>
        <w:bidi w:val="0"/>
        <w:spacing w:lineRule="auto" w:line="288" w:before="180" w:after="180"/>
        <w:jc w:val="both"/>
        <w:rPr/>
      </w:pPr>
      <w:r>
        <w:rPr>
          <w:rFonts w:ascii="Arial;sans-serif" w:hAnsi="Arial;sans-serif"/>
          <w:b/>
          <w:i/>
          <w:color w:val="000000"/>
          <w:sz w:val="18"/>
        </w:rPr>
        <w:t xml:space="preserve">CDHI Intermediate Holdco, LLC. </w:t>
      </w:r>
      <w:r>
        <w:rPr>
          <w:rFonts w:ascii="Arial;sans-serif" w:hAnsi="Arial;sans-serif"/>
          <w:b w:val="false"/>
          <w:color w:val="000000"/>
          <w:sz w:val="18"/>
        </w:rPr>
        <w:t>We acquired the CDHI facility (CDHI Revolver), a $1.2 billion letter of credit facility, up to $400 million of which can be used for revolving loans to finance construction of renewable energy projects. At acquisition, outstanding borrowings under the CDHI Revolver were $319 million. The CDHI Revolver is secured by substantially all of the assets of CDHI's subsidiaries in accordance with the terms of the agreement. The two York Energy Centers that partially secured the CDHI Revolver are subject to sale in accordance with the DOJ resolution. Under the terms of the CDHI revolver, consent of certain lenders was required to release these plants as collateral. In March 2026 and April 2026, the CDHI revolver's total capacity was reduced by $250 million and $568 million, respectively. In June 2026, in connection with the capacity reductions, the lenders agreed to release four plants from the collateral securing CDHI's obligations under the agreement; the two York Energy Centers, Sutter Energy Center, and South Point Energy Center. See Note 2 — Mergers, Acquisitions, and Dispositions for additional information. Redemptions prior to March 2026 were based on SOFR plus 2.25%, and effective March 2026, redemptions bear interest at SOFR plus 2.375%. The CDHI Revolver matures March 2028. As of June 30, 2026, there was $290 million of borrowings outstanding under the credit facility.</w:t>
      </w:r>
    </w:p>
    <w:p>
      <w:pPr>
        <w:pStyle w:val="TextBody"/>
        <w:bidi w:val="0"/>
        <w:spacing w:lineRule="auto" w:line="288" w:before="180" w:after="180"/>
        <w:jc w:val="both"/>
        <w:rPr/>
      </w:pPr>
      <w:r>
        <w:rPr>
          <w:rFonts w:ascii="Arial;sans-serif" w:hAnsi="Arial;sans-serif"/>
          <w:b/>
          <w:i/>
          <w:color w:val="000000"/>
          <w:sz w:val="18"/>
        </w:rPr>
        <w:t xml:space="preserve">Nova Power, LLC. </w:t>
      </w:r>
      <w:r>
        <w:rPr>
          <w:rFonts w:ascii="Arial;sans-serif" w:hAnsi="Arial;sans-serif"/>
          <w:b w:val="false"/>
          <w:color w:val="000000"/>
          <w:sz w:val="18"/>
        </w:rPr>
        <w:t>We acquired the Nova Power, LLC credit agreement, which is comprised of a term loan, with $591 million of outstanding borrowings at acquisition, and a $80 million letter of credit facility. The agreement financed a portion of the cost of the development, construction, maintenance, and operation of the Nova Power battery storage project, and is secured by Nova Power's real and personal property. The credit agreement matures September 2031 and bears interest at SOFR plus 1.75%. As of June 30, 2026, there was $572 million of borrowings outstanding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08025"/>
                <wp:effectExtent l="0" t="0" r="0" b="0"/>
                <wp:wrapNone/>
                <wp:docPr id="37" name="Frame37"/>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13 — Debt and Credit Agreements</w:t>
      </w:r>
    </w:p>
    <w:p>
      <w:pPr>
        <w:pStyle w:val="TextBody"/>
        <w:bidi w:val="0"/>
        <w:spacing w:lineRule="auto" w:line="288" w:before="180" w:after="180"/>
        <w:jc w:val="both"/>
        <w:rPr/>
      </w:pPr>
      <w:r>
        <w:rPr>
          <w:rFonts w:ascii="Arial;sans-serif" w:hAnsi="Arial;sans-serif"/>
          <w:b/>
          <w:i/>
          <w:color w:val="000000"/>
          <w:sz w:val="18"/>
        </w:rPr>
        <w:t xml:space="preserve">Greenfield L.P. </w:t>
      </w:r>
      <w:r>
        <w:rPr>
          <w:rFonts w:ascii="Arial;sans-serif" w:hAnsi="Arial;sans-serif"/>
          <w:b w:val="false"/>
          <w:color w:val="000000"/>
          <w:sz w:val="18"/>
        </w:rPr>
        <w:t>We acquired the Greenfield L.P. credit facility, which includes a term loan, with $342 million of outstanding borrowings at acquisition, and several letters of credit facilities, with issuing capacity of approximately $75 million. The Greenfield L.P. credit facility is secured by certain real and personal property, primarily the Greenfield Energy Center in Ontario, Canada. The credit facility matures November 2030 and bears interest at CORRA plus 1.875%. As of June 30, 2026, there was $317 million of borrowings outstanding under the facility.</w:t>
      </w:r>
    </w:p>
    <w:p>
      <w:pPr>
        <w:pStyle w:val="TextBody"/>
        <w:bidi w:val="0"/>
        <w:spacing w:lineRule="auto" w:line="288" w:before="180" w:after="180"/>
        <w:jc w:val="both"/>
        <w:rPr/>
      </w:pPr>
      <w:r>
        <w:rPr>
          <w:rFonts w:ascii="Arial;sans-serif" w:hAnsi="Arial;sans-serif"/>
          <w:b/>
          <w:i/>
          <w:color w:val="000000"/>
          <w:sz w:val="18"/>
        </w:rPr>
        <w:t xml:space="preserve">Pin Oak Creek Energy Center LLC. </w:t>
      </w:r>
      <w:r>
        <w:rPr>
          <w:rFonts w:ascii="Arial;sans-serif" w:hAnsi="Arial;sans-serif"/>
          <w:b w:val="false"/>
          <w:color w:val="000000"/>
          <w:sz w:val="18"/>
        </w:rPr>
        <w:t>We acquired Pin Oak Creek Energy Center's credit agreement pursuant with Texas Energy Fund (TEF), as lender, as administered by the Public Utility of Texas (PUCT). The loan proceeds were used to finance eligible costs for the development (as defined in the agreement), construction, and installation of Pin Oak Creek Energy Center in Fairfield, Texas. The loan had outstanding borrowings of $230 million at acquisition. The loan matures October 2045 and bears interest at 3%. As of June 30, 2026, there was $277 million of borrowings outstanding under the loan.</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Calpine Credit Agreements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a result of the acquisition, we assumed Calpine's corporate secured and unsecured letters of credit facilities with capacity totaling $525 million and $200 million, respectively, at the time of acquisition.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total capacity of assumed project and corporate credit facilities discussed above was approximately $2.3 billion at the time of acquisition, which was reduced by outstanding borrowings under the GPC facility and CDHI Revolver. At the time of acquisition, there were outstanding letters of credit on the assumed facilities of approximately $1.7 billion. See the Credit Facilities table below for additional information on credit facilities associated with these project financing arrangements.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Debt Exchange Offering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In December 2025, we announced that, in connection with the planned acquisition of Calpine, we commenced private exchange offers and related consent solicitations with respect to certain outstanding debt of Calpine (the Exchange Offers). Under the Exchange Offers, we solicited consents to holders of certain Calpine debt to amend the notes and the related indentures under which they were issued to eliminate substantially all of the restrictive covenants, restrictive provisions and events of default, other than payment-related and bankruptcy-related events of default. In January 2026, we completed the exchange offering, effectively replacing $2.3 billion of Calpine senior secured and unsecured notes with Constellation senior unsecured notes.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The terms of the debt issued under the exchange are as follows: </w:t>
      </w:r>
    </w:p>
    <w:tbl>
      <w:tblPr>
        <w:tblW w:w="6904" w:type="dxa"/>
        <w:jc w:val="left"/>
        <w:tblInd w:w="0" w:type="dxa"/>
        <w:tblLayout w:type="fixed"/>
        <w:tblCellMar>
          <w:top w:w="28" w:type="dxa"/>
          <w:left w:w="28" w:type="dxa"/>
          <w:bottom w:w="28" w:type="dxa"/>
          <w:right w:w="28" w:type="dxa"/>
        </w:tblCellMar>
      </w:tblPr>
      <w:tblGrid>
        <w:gridCol w:w="938"/>
        <w:gridCol w:w="823"/>
        <w:gridCol w:w="833"/>
        <w:gridCol w:w="109"/>
        <w:gridCol w:w="109"/>
        <w:gridCol w:w="109"/>
        <w:gridCol w:w="309"/>
        <w:gridCol w:w="309"/>
        <w:gridCol w:w="311"/>
        <w:gridCol w:w="109"/>
        <w:gridCol w:w="109"/>
        <w:gridCol w:w="109"/>
        <w:gridCol w:w="433"/>
        <w:gridCol w:w="433"/>
        <w:gridCol w:w="439"/>
        <w:gridCol w:w="109"/>
        <w:gridCol w:w="109"/>
        <w:gridCol w:w="109"/>
        <w:gridCol w:w="235"/>
        <w:gridCol w:w="688"/>
        <w:gridCol w:w="172"/>
      </w:tblGrid>
      <w:tr>
        <w:trPr/>
        <w:tc>
          <w:tcPr>
            <w:tcW w:w="93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Issued Amount</w:t>
            </w:r>
          </w:p>
        </w:tc>
      </w:tr>
      <w:tr>
        <w:trPr/>
        <w:tc>
          <w:tcPr>
            <w:tcW w:w="2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2031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2031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Senior Note Issuance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In January 2026, we issued senior unsecured notes totaling $2.75 billion, the proceeds from which were used to pay down Calpine debt assumed. In May 2026, we issued senior unsecured notes totaling $2.2 billion and used the net proceeds (i) to repay short-term borrowings, including commercial paper obligations and (ii) for general corporate purposes. The terms of the debt issuances are reflected in the Debt Issuances and Redemptions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08025"/>
                <wp:effectExtent l="0" t="0" r="0" b="0"/>
                <wp:wrapNone/>
                <wp:docPr id="38" name="Frame38"/>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13 — Debt and Credit Agreements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Long-term Debt Summary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the outstanding long-term debt, as of June 30, 2026 and December 31, 2025:</w:t>
      </w:r>
    </w:p>
    <w:tbl>
      <w:tblPr>
        <w:tblW w:w="9579" w:type="dxa"/>
        <w:jc w:val="left"/>
        <w:tblInd w:w="0" w:type="dxa"/>
        <w:tblLayout w:type="fixed"/>
        <w:tblCellMar>
          <w:top w:w="28" w:type="dxa"/>
          <w:left w:w="28" w:type="dxa"/>
          <w:bottom w:w="28" w:type="dxa"/>
          <w:right w:w="28" w:type="dxa"/>
        </w:tblCellMar>
      </w:tblPr>
      <w:tblGrid>
        <w:gridCol w:w="1367"/>
        <w:gridCol w:w="1202"/>
        <w:gridCol w:w="1210"/>
        <w:gridCol w:w="432"/>
        <w:gridCol w:w="432"/>
        <w:gridCol w:w="440"/>
        <w:gridCol w:w="109"/>
        <w:gridCol w:w="109"/>
        <w:gridCol w:w="109"/>
        <w:gridCol w:w="364"/>
        <w:gridCol w:w="364"/>
        <w:gridCol w:w="366"/>
        <w:gridCol w:w="109"/>
        <w:gridCol w:w="109"/>
        <w:gridCol w:w="109"/>
        <w:gridCol w:w="211"/>
        <w:gridCol w:w="721"/>
        <w:gridCol w:w="109"/>
        <w:gridCol w:w="109"/>
        <w:gridCol w:w="109"/>
        <w:gridCol w:w="109"/>
        <w:gridCol w:w="297"/>
        <w:gridCol w:w="867"/>
        <w:gridCol w:w="216"/>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Long-term debt</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Senior unsecured notes</w:t>
            </w:r>
            <w:r>
              <w:rPr>
                <w:rFonts w:ascii="Arial;sans-serif" w:hAnsi="Arial;sans-serif"/>
                <w:b w:val="false"/>
                <w:color w:val="000000"/>
                <w:sz w:val="12"/>
              </w:rPr>
              <w:t>(a)</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3.75% - 6.50%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2028 - 2066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Tax-exempt notes</w:t>
            </w:r>
            <w:r>
              <w:rPr>
                <w:rFonts w:ascii="Arial;sans-serif" w:hAnsi="Arial;sans-serif"/>
                <w:b w:val="false"/>
                <w:color w:val="000000"/>
                <w:sz w:val="12"/>
              </w:rPr>
              <w:t>(b)</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4.10% - 4.45%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2029 - 2053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 and other</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1.71% - 8.18%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2026 - 2035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Project finance:</w:t>
            </w:r>
            <w:r>
              <w:rPr>
                <w:rFonts w:ascii="Arial;sans-serif" w:hAnsi="Arial;sans-serif"/>
                <w:b w:val="false"/>
                <w:color w:val="000000"/>
                <w:sz w:val="12"/>
              </w:rPr>
              <w:t>(a)</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Variable rates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4.13% - 6.11%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2027 - 2030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Fixed rates</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2.29% - 8.64%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2031 - 2048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long-term debt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7,403 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Unamortized debt discount and premium, net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Unamortized fair value of debt</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Unamortized debt issuance costs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due within one year</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Long-term debt</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7,250 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(a)Includes debt assumed in acquisition of Calpine.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Tax-exempt notes have a maturity date of June 2029 to April 2053, and a mandatory purchase date that ranges from April 2028 to June 2029.</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08025"/>
                <wp:effectExtent l="0" t="0" r="0" b="0"/>
                <wp:wrapNone/>
                <wp:docPr id="39" name="Frame39"/>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13 — Debt and Credit Agreements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 xml:space="preserve">Debt Issuances and Redemptions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During the six months ended June 30, 2026, the following long-term debt was issued (redeemed):</w:t>
      </w:r>
    </w:p>
    <w:tbl>
      <w:tblPr>
        <w:tblW w:w="9244" w:type="dxa"/>
        <w:jc w:val="left"/>
        <w:tblInd w:w="0" w:type="dxa"/>
        <w:tblLayout w:type="fixed"/>
        <w:tblCellMar>
          <w:top w:w="28" w:type="dxa"/>
          <w:left w:w="28" w:type="dxa"/>
          <w:bottom w:w="28" w:type="dxa"/>
          <w:right w:w="28" w:type="dxa"/>
        </w:tblCellMar>
      </w:tblPr>
      <w:tblGrid>
        <w:gridCol w:w="1259"/>
        <w:gridCol w:w="1101"/>
        <w:gridCol w:w="1120"/>
        <w:gridCol w:w="109"/>
        <w:gridCol w:w="109"/>
        <w:gridCol w:w="109"/>
        <w:gridCol w:w="541"/>
        <w:gridCol w:w="545"/>
        <w:gridCol w:w="1103"/>
        <w:gridCol w:w="109"/>
        <w:gridCol w:w="109"/>
        <w:gridCol w:w="109"/>
        <w:gridCol w:w="488"/>
        <w:gridCol w:w="488"/>
        <w:gridCol w:w="494"/>
        <w:gridCol w:w="109"/>
        <w:gridCol w:w="109"/>
        <w:gridCol w:w="109"/>
        <w:gridCol w:w="211"/>
        <w:gridCol w:w="541"/>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Type</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2028 Senior Unsecured Notes</w:t>
            </w:r>
            <w:r>
              <w:rPr>
                <w:rFonts w:ascii="Arial;sans-serif" w:hAnsi="Arial;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3.90 </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2036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2066 Senior Unsecured Notes</w:t>
            </w:r>
            <w:r>
              <w:rPr>
                <w:rFonts w:ascii="Arial;sans-serif" w:hAnsi="Arial;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2031 Senior Unsecured Notes</w:t>
            </w:r>
            <w:r>
              <w:rPr>
                <w:rFonts w:ascii="Arial;sans-serif" w:hAnsi="Arial;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 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2032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2028 Floating Rate Senior Notes</w:t>
            </w:r>
            <w:r>
              <w:rPr>
                <w:rFonts w:ascii="Arial;sans-serif" w:hAnsi="Arial;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SOFR + 0.60 %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Pin Oak Creek Energy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October 2045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Energy Efficiency Project Financing</w:t>
            </w:r>
            <w:r>
              <w:rPr>
                <w:rFonts w:ascii="Arial;sans-serif" w:hAnsi="Arial;sans-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December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RPG Nonrecourse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March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2031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August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4.625 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August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Antelope Valley DOE Nonrecourse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2.29 % - 3.56 %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Greenfield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CORRA + 1.875 %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Continental Wind Nonrecourse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Nova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SOFR + 1.75 %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September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 Development 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SOFR + 2.25 % - 2.375 %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March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Constellation Renewables,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3m SOFR + 2.00 %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Geysers Power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SOFR + 1.625 %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SOFR + 1.75 %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 2028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1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February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 2028 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5.125 </w:t>
            </w:r>
          </w:p>
        </w:tc>
        <w:tc>
          <w:tcPr>
            <w:tcW w:w="11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March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SOFR + 1.75 %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January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long-term debt issued (redeemed)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(a)Does not include debt exchange activity discussed above.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(b)Relates to January 2026 debt issuance used to pay down Calpine corporate debt assumed.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(c)Represents funding to install energy conservation measures. The maturity dates represent the expected date of project completion, upon which the respective customer assumes the outstanding debt.</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DOE Loan Guarantee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In November 2025, the DOE Office of Energy Dominance Financing issued a guarantee for up to $1.0 billion for an unsecured loan from the Federal Financing Bank to support the restart of the Crane Clean Energy Center. The loan matures November 2055. Interest rates on the loan are fixed upon each advance at a spread of 0.375% above U.S. Treasuries of comparable maturity. There have been no borrowings on this loan as of the date of this filing. </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Short-Term Borrowings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meet our short-term liquidity requirements primarily through the issuance of commercial paper. We may use our credit facility for general corporate purposes, including meeting short-term funding requirements and the issuance of letters of credit.</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08025"/>
                <wp:effectExtent l="0" t="0" r="0" b="0"/>
                <wp:wrapNone/>
                <wp:docPr id="40" name="Frame40"/>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13 — Debt and Credit Agreements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Credit Agreements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September 2025, we amended our existing revolving credit facility (RCF) to increase the available aggregate commitment from $4.5 billion to $7.0 billion, which included incremental revolving credit commitments of $2.5 billion and extension of the maturity date to September 2030. The incremental commitments became available upon the closing of the Calpine acquisition in January 2026. The RCF may be drawn down in the form of loans and/or to support commercial paper and letter of credit issuances.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The RCF fixed facility fee rate is 0.175% and borrowings under the RCF bear interest at a rate based upon either the Daily Simple SOFR rate or a Term SOFR rate, plus an adder based upon our credit rating. The adders for the Daily Simple SOFR-based borrowings and Term SOFR borrowings are 0.075% and 1.075%, respectively. The letters of credit bear interest at a rate of 1.075%.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If we were to lose our investment grade credit rating, the maximum adders for Daily Simple SOFR rate borrowings and Term SOFR rate borrowings would be 1.00% and 2.00%, respectively. The credit agreements also require us to pay facility fees based upon the aggregate commitments. The fees vary depending upon our credit rating.</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Accounts Receivable Facility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Accounts Receivable Facility (the Facility) provides NER access to revolving loans from a number of financial institutions (Lenders) secured by certain customer accounts receivable. The maximum funding limit of the Facility is $1.5 billion and matures December 2027. Draws and repayments related to the Facility will be reflected as Proceeds from short-term borrowings and Repayments of short-term borrowings, respectively, in the Consolidated Statements of Cash Flows. Draws on the Facility bear interest at a commercial paper rate or a Daily One Month Term SOFR or Term SOFR rate, plus an adder of 0.10% per annum. Interest is payable monthly. In January 2026, we drew on and repaid the full amount of the Facility. In February and March 2026, we drew on the Facility in full. Subsequently, in the second quarter of 2026, we used the proceeds of the term loan and senior notes issued to repay $1.1 billion of the Facility. As of June 30, 2026, $400 million of the Facility was drawn on and outstanding.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Facility requires the balance of eligible receivables to be maintained at or above the balance of cash proceeds received from the Lenders. To the extent the eligible receivables decrease below such balance, we are required to repay cash to the Lenders. When eligible receivables exceed cash proceeds, we have the ability to increase the cash proceeds received up to the maximum funding limit. As of June 30, 2026, the balance of our eligible receivables exceeded the cash proceeds outstanding from the Lenders.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Credit Facilities Summary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we had the following aggregate bank commitments, credit facility borrowings and available capacity under our respective credit facilities:</w:t>
      </w:r>
    </w:p>
    <w:tbl>
      <w:tblPr>
        <w:tblW w:w="10205" w:type="dxa"/>
        <w:jc w:val="left"/>
        <w:tblInd w:w="0" w:type="dxa"/>
        <w:tblLayout w:type="fixed"/>
        <w:tblCellMar>
          <w:top w:w="28" w:type="dxa"/>
          <w:left w:w="28" w:type="dxa"/>
          <w:bottom w:w="28" w:type="dxa"/>
          <w:right w:w="28" w:type="dxa"/>
        </w:tblCellMar>
      </w:tblPr>
      <w:tblGrid>
        <w:gridCol w:w="702"/>
        <w:gridCol w:w="554"/>
        <w:gridCol w:w="520"/>
        <w:gridCol w:w="109"/>
        <w:gridCol w:w="109"/>
        <w:gridCol w:w="109"/>
        <w:gridCol w:w="280"/>
        <w:gridCol w:w="959"/>
        <w:gridCol w:w="146"/>
        <w:gridCol w:w="109"/>
        <w:gridCol w:w="109"/>
        <w:gridCol w:w="109"/>
        <w:gridCol w:w="278"/>
        <w:gridCol w:w="614"/>
        <w:gridCol w:w="144"/>
        <w:gridCol w:w="109"/>
        <w:gridCol w:w="109"/>
        <w:gridCol w:w="109"/>
        <w:gridCol w:w="331"/>
        <w:gridCol w:w="967"/>
        <w:gridCol w:w="172"/>
        <w:gridCol w:w="109"/>
        <w:gridCol w:w="109"/>
        <w:gridCol w:w="109"/>
        <w:gridCol w:w="305"/>
        <w:gridCol w:w="892"/>
        <w:gridCol w:w="157"/>
        <w:gridCol w:w="109"/>
        <w:gridCol w:w="109"/>
        <w:gridCol w:w="109"/>
        <w:gridCol w:w="263"/>
        <w:gridCol w:w="770"/>
        <w:gridCol w:w="136"/>
        <w:gridCol w:w="109"/>
        <w:gridCol w:w="109"/>
        <w:gridCol w:w="162"/>
      </w:tblGrid>
      <w:tr>
        <w:trPr/>
        <w:tc>
          <w:tcPr>
            <w:tcW w:w="7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Facility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Aggregate Bank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Facility Draws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Outstanding Letters of Credit</w:t>
            </w:r>
            <w:r>
              <w:rPr>
                <w:rFonts w:ascii="Arial;sans-serif" w:hAnsi="Arial;sans-serif"/>
                <w:b/>
                <w:color w:val="000000"/>
                <w:sz w:val="9"/>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Outstanding Commercial Paper</w:t>
            </w:r>
            <w:r>
              <w:rPr>
                <w:rFonts w:ascii="Arial;sans-serif" w:hAnsi="Arial;sans-serif"/>
                <w:b/>
                <w:color w:val="000000"/>
                <w:sz w:val="9"/>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Available Capacity</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Bilateral and letter of credit facilities</w:t>
            </w:r>
            <w:r>
              <w:rPr>
                <w:rFonts w:ascii="Arial;sans-serif" w:hAnsi="Arial;sans-serif"/>
                <w:b w:val="false"/>
                <w:color w:val="000000"/>
                <w:sz w:val="12"/>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CDHI Revolver</w:t>
            </w:r>
            <w:r>
              <w:rPr>
                <w:rFonts w:ascii="Arial;sans-serif" w:hAnsi="Arial;sans-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Liquidity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2"/>
              </w:rPr>
            </w:pPr>
            <w:r>
              <w:rPr>
                <w:rFonts w:ascii="Arial;sans-serif" w:hAnsi="Arial;sans-serif"/>
                <w:b w:val="false"/>
                <w:color w:val="000000"/>
                <w:sz w:val="12"/>
              </w:rPr>
              <w:t>(e)</w:t>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Project Finance</w:t>
            </w:r>
            <w:r>
              <w:rPr>
                <w:rFonts w:ascii="Arial;sans-serif" w:hAnsi="Arial;sans-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14,482 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4,161 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08025"/>
                <wp:effectExtent l="0" t="0" r="0" b="0"/>
                <wp:wrapNone/>
                <wp:docPr id="41" name="Frame41"/>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39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13 — Debt and Credit Agreements</w:t>
      </w:r>
    </w:p>
    <w:tbl>
      <w:tblPr>
        <w:tblW w:w="10205" w:type="dxa"/>
        <w:jc w:val="left"/>
        <w:tblInd w:w="0" w:type="dxa"/>
        <w:tblLayout w:type="fixed"/>
        <w:tblCellMar>
          <w:top w:w="28" w:type="dxa"/>
          <w:left w:w="28" w:type="dxa"/>
          <w:bottom w:w="28" w:type="dxa"/>
          <w:right w:w="28" w:type="dxa"/>
        </w:tblCellMar>
      </w:tblPr>
      <w:tblGrid>
        <w:gridCol w:w="763"/>
        <w:gridCol w:w="502"/>
        <w:gridCol w:w="458"/>
        <w:gridCol w:w="109"/>
        <w:gridCol w:w="109"/>
        <w:gridCol w:w="109"/>
        <w:gridCol w:w="316"/>
        <w:gridCol w:w="925"/>
        <w:gridCol w:w="164"/>
        <w:gridCol w:w="109"/>
        <w:gridCol w:w="109"/>
        <w:gridCol w:w="109"/>
        <w:gridCol w:w="301"/>
        <w:gridCol w:w="579"/>
        <w:gridCol w:w="156"/>
        <w:gridCol w:w="109"/>
        <w:gridCol w:w="109"/>
        <w:gridCol w:w="109"/>
        <w:gridCol w:w="335"/>
        <w:gridCol w:w="981"/>
        <w:gridCol w:w="174"/>
        <w:gridCol w:w="109"/>
        <w:gridCol w:w="109"/>
        <w:gridCol w:w="109"/>
        <w:gridCol w:w="392"/>
        <w:gridCol w:w="755"/>
        <w:gridCol w:w="204"/>
        <w:gridCol w:w="109"/>
        <w:gridCol w:w="109"/>
        <w:gridCol w:w="109"/>
        <w:gridCol w:w="267"/>
        <w:gridCol w:w="781"/>
        <w:gridCol w:w="138"/>
        <w:gridCol w:w="109"/>
        <w:gridCol w:w="109"/>
        <w:gridCol w:w="161"/>
      </w:tblGrid>
      <w:tr>
        <w:trPr/>
        <w:tc>
          <w:tcPr>
            <w:tcW w:w="76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Facility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Aggregate Bank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Facility Draws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Outstanding Letters of Credit</w:t>
            </w:r>
            <w:r>
              <w:rPr>
                <w:rFonts w:ascii="Arial;sans-serif" w:hAnsi="Arial;sans-serif"/>
                <w:b/>
                <w:color w:val="000000"/>
                <w:sz w:val="9"/>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Outstanding Commercial Paper</w:t>
            </w:r>
            <w:r>
              <w:rPr>
                <w:rFonts w:ascii="Arial;sans-serif" w:hAnsi="Arial;sans-serif"/>
                <w:b/>
                <w:color w:val="000000"/>
                <w:sz w:val="9"/>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Available Capacity</w:t>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Bilateral and letter of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Liquidity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Arial;sans-serif" w:hAnsi="Arial;sans-serif"/>
                <w:b w:val="false"/>
                <w:color w:val="000000"/>
                <w:sz w:val="12"/>
              </w:rPr>
            </w:pPr>
            <w:r>
              <w:rPr>
                <w:rFonts w:ascii="Arial;sans-serif" w:hAnsi="Arial;sans-serif"/>
                <w:b w:val="false"/>
                <w:color w:val="000000"/>
                <w:sz w:val="12"/>
              </w:rPr>
              <w:t>(e)</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Project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9,458 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6"/>
        </w:rPr>
        <w:t>(a)Excludes an additional outstanding letter of credit which was not issued under these facilities of $15 million</w:t>
      </w:r>
      <w:r>
        <w:rPr>
          <w:color w:val="000000"/>
        </w:rPr>
        <w:t xml:space="preserve"> </w:t>
      </w:r>
      <w:r>
        <w:rPr>
          <w:rFonts w:ascii="Arial;sans-serif" w:hAnsi="Arial;sans-serif"/>
          <w:b w:val="false"/>
          <w:color w:val="000000"/>
          <w:sz w:val="16"/>
        </w:rPr>
        <w:t xml:space="preserve">as of June 30, 2026 and December 31, 2025. See Note 15 — Commitments and Contingencies for additional information.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(b)Our commercial paper program is supported by the revolving credit agreement. In order to maintain our commercial paper program in the amounts indicated above, we must have a credit facility in place, at least equal to the amount of our commercial paper program. As of June 30, 2026 and December 31, 2025, the maximum program size of our commercial paper program was $7.0 billion and $4.5 billion, respectively. We do not issue commercial paper in an aggregate amount exceeding the then available capacity under our credit facility. The weighted average interest rate on commercial paper borrowings was 4.21% as of June 30, 2026. There were no commercial paper borrowings outstanding as of December 31, 2025.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(c)In 2026, we entered into or amended several bilateral credit facilities increasing our letter of credit capacity totaling $1,025 million. Amendments to bilateral credit facilities included converting various committed facilities to uncommitted status, and extending maturity dates.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(d)Includes corporate and project-related facilities assumed in connection with Calpine acquisition in January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(e)The maximum amount of the bank commitment is not to exceed $971 million. The aggregate available capacity of the facility is subject to market fluctuations based on the value of U.S. Treasury Securities which determines the amount of collateral held in the trust. We may post additional collateral to borrow up to the maximum bank commitment. As of June 30, 2026 and December 31, 2025, without posting additional collateral, the actual availability of facility, prior to outstanding letters of credit was $965 million and $959 million, respectively.</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Short-Term Loan Agreements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we had the following short-term loan agreements, which are unsecured and reflected in Short-term borrowings in the Consolidated Balance Sheets:</w:t>
      </w:r>
    </w:p>
    <w:tbl>
      <w:tblPr>
        <w:tblW w:w="8671" w:type="dxa"/>
        <w:jc w:val="left"/>
        <w:tblInd w:w="0" w:type="dxa"/>
        <w:tblLayout w:type="fixed"/>
        <w:tblCellMar>
          <w:top w:w="28" w:type="dxa"/>
          <w:left w:w="28" w:type="dxa"/>
          <w:bottom w:w="28" w:type="dxa"/>
          <w:right w:w="28" w:type="dxa"/>
        </w:tblCellMar>
      </w:tblPr>
      <w:tblGrid>
        <w:gridCol w:w="538"/>
        <w:gridCol w:w="471"/>
        <w:gridCol w:w="475"/>
        <w:gridCol w:w="109"/>
        <w:gridCol w:w="109"/>
        <w:gridCol w:w="109"/>
        <w:gridCol w:w="678"/>
        <w:gridCol w:w="678"/>
        <w:gridCol w:w="683"/>
        <w:gridCol w:w="109"/>
        <w:gridCol w:w="109"/>
        <w:gridCol w:w="109"/>
        <w:gridCol w:w="488"/>
        <w:gridCol w:w="488"/>
        <w:gridCol w:w="494"/>
        <w:gridCol w:w="109"/>
        <w:gridCol w:w="109"/>
        <w:gridCol w:w="109"/>
        <w:gridCol w:w="288"/>
        <w:gridCol w:w="554"/>
        <w:gridCol w:w="148"/>
        <w:gridCol w:w="109"/>
        <w:gridCol w:w="109"/>
        <w:gridCol w:w="109"/>
        <w:gridCol w:w="350"/>
        <w:gridCol w:w="773"/>
        <w:gridCol w:w="257"/>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Month Initiated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December 31, 2025</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1-month SOFR + 0.90%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September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1-month SOFR + 0.90%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September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1-month SOFR + 0.70%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April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Debt Covenants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we are in compliance with all debt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08025"/>
                <wp:effectExtent l="0" t="0" r="0" b="0"/>
                <wp:wrapNone/>
                <wp:docPr id="42" name="Frame42"/>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14 — Fair Value of Financial Assets and Liabilities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 xml:space="preserve">14. Fair Value of Financial Assets and Liabilities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measure and classify fair value measurements in accordance with the hierarchy as defined by GAAP. The hierarchy prioritizes the inputs to valuation techniques used to measure fair value into three levels as follows:</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Level 1 — quoted prices (unadjusted) in active markets for identical assets or liabilities that we have the ability to liquidate as of the reporting date.</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Level 2 — inputs other than quoted prices included within Level 1 that are directly observable for the asset or liability or indirectly observable through corroboration with observable market data.</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 xml:space="preserve">Level 3 — unobservable inputs, such as internally developed pricing models or third-party valuations for the asset or liability due to little or no market activity for the asset or liability. </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Fair Value of Financial Liabilities Recorded at Amortized Cost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the carrying amounts and fair values of our long-term debt and SNF obligation as of June 30, 2026 and December 31, 2025. We have no financial liabilities classified as Level 1. The carrying amounts of the short-term liabilities as presented in the Consolidated Balance Sheets are representative of their fair value (Level 2) because of the short-term nature of these instruments.</w:t>
      </w:r>
    </w:p>
    <w:tbl>
      <w:tblPr>
        <w:tblW w:w="11335"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Fair Value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including amounts 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SNF Obligation</w:t>
            </w:r>
            <w:r>
              <w:rPr>
                <w:rFonts w:ascii="Arial;sans-serif" w:hAnsi="Arial;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(a)SNF Obligation is included in Other deferred credits and other liabilities in the Consolidated Balance Sheets. </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Valuation Techniques Used to Determine Fair Value and Net Asset Value</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Our valuation techniques used to measure the fair value and net asset value of the assets and liabilities are in accordance with the policies discussed in Note 17 — Fair Value of Financial Assets and Liabilities of our 2025 Form 10-K except for certain assumed variable rate project financings which are valued using a model that estimates pricing using an internal rate of return calculation and benchmark indices, which may be adjusted for company or security specific risks, resulting in these being classified as Level 3.</w:t>
      </w:r>
    </w:p>
    <w:p>
      <w:pPr>
        <w:pStyle w:val="TextBody"/>
        <w:bidi w:val="0"/>
        <w:spacing w:before="1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8025"/>
                <wp:effectExtent l="0" t="0" r="0" b="0"/>
                <wp:wrapNone/>
                <wp:docPr id="43" name="Frame43"/>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14 — Fair Value of Financial Assets and Liabilities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Recurring Fair Value Measurements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assets and liabilities measured and recorded at fair value in the Consolidated Balance Sheets on a recurring basis and their level within the fair value hierarchy as of June 30, 2026 and December 31, 2025:</w:t>
      </w:r>
    </w:p>
    <w:tbl>
      <w:tblPr>
        <w:tblW w:w="11158" w:type="dxa"/>
        <w:jc w:val="left"/>
        <w:tblInd w:w="0" w:type="dxa"/>
        <w:tblLayout w:type="fixed"/>
        <w:tblCellMar>
          <w:top w:w="28" w:type="dxa"/>
          <w:left w:w="28" w:type="dxa"/>
          <w:bottom w:w="28" w:type="dxa"/>
          <w:right w:w="28" w:type="dxa"/>
        </w:tblCellMar>
      </w:tblPr>
      <w:tblGrid>
        <w:gridCol w:w="566"/>
        <w:gridCol w:w="353"/>
        <w:gridCol w:w="35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NDT fund investments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equivalents</w:t>
            </w:r>
            <w:r>
              <w:rPr>
                <w:rFonts w:ascii="Arial;sans-serif" w:hAnsi="Arial;sans-serif"/>
                <w:b w:val="false"/>
                <w:color w:val="000000"/>
                <w:sz w:val="12"/>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Private credit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measured at NAV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NDT fund investments subtotal</w:t>
            </w:r>
            <w:r>
              <w:rPr>
                <w:rFonts w:ascii="Arial;sans-serif" w:hAnsi="Arial;sans-serif"/>
                <w:b w:val="false"/>
                <w:color w:val="000000"/>
                <w:sz w:val="12"/>
              </w:rPr>
              <w:t>(c)</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Rabbi trust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in equities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Economic hedges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netting and allocation of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assets 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 measured at fair value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Economic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netting and allocation of collateral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liabilities 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compensation obligation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measured at fair value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(a)CEG Parent has $396 million and $70 million of Level 1 cash equivalents as of June 30, 2026 and December 31, 2025, respectively. We exclude cash of $622 million and $3,621 million, and restricted cash of $44 million and $57 million as of June 30, 2026 and December 31, 2025, respectively. CEG Parent has excluded an additional $15 million of cash as of June 30, 2026 and no additional cash exclusions as of December 31,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(b)Includes net liabilities of $231 million and $166 million as of June 30, 2026 and December 31, 2025, respectively, which consist of receivables related to pending securities sales, interest and dividend receivables, repurchase agreement obligations, and payables related to pending securities purchases. The repurchase agreements are generally short-term in nature with durations generally of 30 days or less.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(c)Includes total NDT derivative assets and liabilities that are not material, which have notional amounts of $995 million and $810 million as of June 30, 2026 and December 31, 2025, respectively. The notional principal amounts provide one measure of the transaction volume outstanding as of the periods ended and do not represent the amount of our exposure to credit or market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08025"/>
                <wp:effectExtent l="0" t="0" r="0" b="0"/>
                <wp:wrapNone/>
                <wp:docPr id="44" name="Frame44"/>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14 — Fair Value of Financial Assets and Liabilities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our NDTs have outstanding commitments to invest in private credit, private equity, and real assets of $690 million, $494 million, and $582 million, respectively. These commitments will be funded by our existing NDT funds.</w:t>
      </w:r>
    </w:p>
    <w:p>
      <w:pPr>
        <w:pStyle w:val="TextBody"/>
        <w:bidi w:val="0"/>
        <w:spacing w:lineRule="auto" w:line="288" w:before="180" w:after="180"/>
        <w:jc w:val="both"/>
        <w:rPr/>
      </w:pPr>
      <w:r>
        <w:rPr>
          <w:rFonts w:ascii="Arial;sans-serif" w:hAnsi="Arial;sans-serif"/>
          <w:b/>
          <w:i/>
          <w:color w:val="000000"/>
          <w:sz w:val="18"/>
        </w:rPr>
        <w:t xml:space="preserve">Equity Security Investments without Readily Determinable Fair Values. </w:t>
      </w:r>
      <w:r>
        <w:rPr>
          <w:rFonts w:ascii="Arial;sans-serif" w:hAnsi="Arial;sans-serif"/>
          <w:b w:val="false"/>
          <w:color w:val="000000"/>
          <w:sz w:val="18"/>
        </w:rPr>
        <w:t>We hold investments without readily determinable fair values with carrying amounts of $122 million and $109 million as of June 30, 2026 and December 31, 2025, respectively. Changes in fair value, cumulative adjustments, and impairments were not material for the three and six months ended June 30, 2026 and the year ended December 31, 2025.</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Reconciliation of Level 3 Assets and Liabilities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present the fair value reconciliation of Level 3 assets and liabilities measured at fair value on a recurring basis during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971"/>
        <w:gridCol w:w="1537"/>
        <w:gridCol w:w="1549"/>
        <w:gridCol w:w="294"/>
        <w:gridCol w:w="652"/>
        <w:gridCol w:w="154"/>
        <w:gridCol w:w="109"/>
        <w:gridCol w:w="109"/>
        <w:gridCol w:w="109"/>
        <w:gridCol w:w="211"/>
        <w:gridCol w:w="616"/>
        <w:gridCol w:w="109"/>
        <w:gridCol w:w="109"/>
        <w:gridCol w:w="109"/>
        <w:gridCol w:w="109"/>
        <w:gridCol w:w="419"/>
        <w:gridCol w:w="508"/>
        <w:gridCol w:w="218"/>
        <w:gridCol w:w="109"/>
        <w:gridCol w:w="109"/>
        <w:gridCol w:w="109"/>
        <w:gridCol w:w="211"/>
        <w:gridCol w:w="616"/>
        <w:gridCol w:w="159"/>
      </w:tblGrid>
      <w:tr>
        <w:trPr/>
        <w:tc>
          <w:tcPr>
            <w:tcW w:w="197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 2026</w:t>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NDT Fund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Rabbi Trust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April 1, 2026</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realized / unrealized gains (losses)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net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2"/>
              </w:rPr>
            </w:pPr>
            <w:r>
              <w:rPr>
                <w:rFonts w:ascii="Arial;sans-serif" w:hAnsi="Arial;sans-serif"/>
                <w:b w:val="false"/>
                <w:color w:val="000000"/>
                <w:sz w:val="12"/>
              </w:rPr>
              <w:t>(b)</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Included in Payables related to Regulatory Agreement Units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collateral</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into Level 3</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out of Level 3</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amount of total gains (losses) included in income attributed to the change in unrealized gains (losses) related to assets and liabilities as of June 30, 2026</w:t>
            </w:r>
          </w:p>
        </w:tc>
        <w:tc>
          <w:tcPr>
            <w:tcW w:w="2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026"/>
        <w:gridCol w:w="1617"/>
        <w:gridCol w:w="1630"/>
        <w:gridCol w:w="298"/>
        <w:gridCol w:w="660"/>
        <w:gridCol w:w="156"/>
        <w:gridCol w:w="109"/>
        <w:gridCol w:w="109"/>
        <w:gridCol w:w="109"/>
        <w:gridCol w:w="225"/>
        <w:gridCol w:w="498"/>
        <w:gridCol w:w="118"/>
        <w:gridCol w:w="109"/>
        <w:gridCol w:w="109"/>
        <w:gridCol w:w="109"/>
        <w:gridCol w:w="337"/>
        <w:gridCol w:w="649"/>
        <w:gridCol w:w="175"/>
        <w:gridCol w:w="109"/>
        <w:gridCol w:w="109"/>
        <w:gridCol w:w="109"/>
        <w:gridCol w:w="211"/>
        <w:gridCol w:w="466"/>
        <w:gridCol w:w="158"/>
      </w:tblGrid>
      <w:tr>
        <w:trPr/>
        <w:tc>
          <w:tcPr>
            <w:tcW w:w="2026"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NDT Fund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Rabbi Trust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April 1, 2025</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realized / unrealized gains (losses)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net income (loss)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(b)</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Included in Payables related to Regulatory Agreement Units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collateral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into Level 3</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out of Level 3</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amount of total gains (losses) included in income attributed to the change in unrealized gains (losses) related to assets and liabilities as of June 30, 2025</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08025"/>
                <wp:effectExtent l="0" t="0" r="0" b="0"/>
                <wp:wrapNone/>
                <wp:docPr id="45" name="Frame45"/>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14 — Fair Value of Financial Assets and Liabilities</w:t>
      </w:r>
    </w:p>
    <w:tbl>
      <w:tblPr>
        <w:tblW w:w="10205" w:type="dxa"/>
        <w:jc w:val="center"/>
        <w:tblInd w:w="0" w:type="dxa"/>
        <w:tblLayout w:type="fixed"/>
        <w:tblCellMar>
          <w:top w:w="28" w:type="dxa"/>
          <w:left w:w="28" w:type="dxa"/>
          <w:bottom w:w="28" w:type="dxa"/>
          <w:right w:w="28" w:type="dxa"/>
        </w:tblCellMar>
      </w:tblPr>
      <w:tblGrid>
        <w:gridCol w:w="1893"/>
        <w:gridCol w:w="1580"/>
        <w:gridCol w:w="1584"/>
        <w:gridCol w:w="294"/>
        <w:gridCol w:w="652"/>
        <w:gridCol w:w="154"/>
        <w:gridCol w:w="109"/>
        <w:gridCol w:w="109"/>
        <w:gridCol w:w="109"/>
        <w:gridCol w:w="211"/>
        <w:gridCol w:w="616"/>
        <w:gridCol w:w="109"/>
        <w:gridCol w:w="109"/>
        <w:gridCol w:w="109"/>
        <w:gridCol w:w="109"/>
        <w:gridCol w:w="419"/>
        <w:gridCol w:w="508"/>
        <w:gridCol w:w="218"/>
        <w:gridCol w:w="109"/>
        <w:gridCol w:w="109"/>
        <w:gridCol w:w="109"/>
        <w:gridCol w:w="211"/>
        <w:gridCol w:w="616"/>
        <w:gridCol w:w="159"/>
      </w:tblGrid>
      <w:tr>
        <w:trPr/>
        <w:tc>
          <w:tcPr>
            <w:tcW w:w="189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5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NDT Fund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Rabbi Trust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January 1, 2026</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acquired at acquisition date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(a)</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realized / unrealized gains (losses)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net income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(b)</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Included in Payables related to Regulatory Agreement Units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collateral</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into Level 3</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out of Level 3</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2026</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amount of total gains (losses) included in income attributed to the change in unrealized gains (losses) related to assets and liabilities as of June 30, 2026</w:t>
            </w:r>
          </w:p>
        </w:tc>
        <w:tc>
          <w:tcPr>
            <w:tcW w:w="2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51"/>
        <w:gridCol w:w="1659"/>
        <w:gridCol w:w="1663"/>
        <w:gridCol w:w="298"/>
        <w:gridCol w:w="660"/>
        <w:gridCol w:w="156"/>
        <w:gridCol w:w="109"/>
        <w:gridCol w:w="109"/>
        <w:gridCol w:w="109"/>
        <w:gridCol w:w="225"/>
        <w:gridCol w:w="498"/>
        <w:gridCol w:w="118"/>
        <w:gridCol w:w="109"/>
        <w:gridCol w:w="109"/>
        <w:gridCol w:w="109"/>
        <w:gridCol w:w="337"/>
        <w:gridCol w:w="649"/>
        <w:gridCol w:w="175"/>
        <w:gridCol w:w="109"/>
        <w:gridCol w:w="109"/>
        <w:gridCol w:w="109"/>
        <w:gridCol w:w="211"/>
        <w:gridCol w:w="466"/>
        <w:gridCol w:w="158"/>
      </w:tblGrid>
      <w:tr>
        <w:trPr/>
        <w:tc>
          <w:tcPr>
            <w:tcW w:w="195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5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NDT Fund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Rabbi Trust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January 1, 2025</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realized / unrealized gains (losses)</w:t>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Included in net income (loss)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(b)</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Included in Payables related to Regulatory Agreement Units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collateral</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into Level 3</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out of Level 3</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(c)</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amount of total gains (losses) included in income attributed to the change in unrealized gains (losses) related to assets and liabilities as of June 30, 2025</w:t>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(a)Represents contracts acquired as part of the Calpine acquisition in January 2026. See Note 2 — Mergers, Acquisitions, and Dispositions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a reduction of ($447) million and ($358) million for realized gains due to the settlement of derivative contracts for the three and six months ended June 30, 2026, respectively. Includes a reduction of ($112) million and ($147) million for realized gains due to the settlement of derivative contracts for the three and six months ended June 30, 2025.</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(c)Transfers into and out of Level 3 generally occur when the contract tenor becomes less and more observable, respectively, primarily due to changes in market liquidity or assumptions for certain commodity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08025"/>
                <wp:effectExtent l="0" t="0" r="0" b="0"/>
                <wp:wrapNone/>
                <wp:docPr id="46" name="Frame46"/>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14 — Fair Value of Financial Assets and Liabilities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the income statement classification of the total realized and unrealized gains (losses) included in income for Level 3 assets and liabilities measured at fair value on a recurring basis during the three and six months ended June 30, 2026 and 2025:</w:t>
      </w:r>
    </w:p>
    <w:tbl>
      <w:tblPr>
        <w:tblW w:w="9846" w:type="dxa"/>
        <w:jc w:val="left"/>
        <w:tblInd w:w="0" w:type="dxa"/>
        <w:tblLayout w:type="fixed"/>
        <w:tblCellMar>
          <w:top w:w="28" w:type="dxa"/>
          <w:left w:w="28" w:type="dxa"/>
          <w:bottom w:w="28" w:type="dxa"/>
          <w:right w:w="28" w:type="dxa"/>
        </w:tblCellMar>
      </w:tblPr>
      <w:tblGrid>
        <w:gridCol w:w="1302"/>
        <w:gridCol w:w="1147"/>
        <w:gridCol w:w="1151"/>
        <w:gridCol w:w="211"/>
        <w:gridCol w:w="541"/>
        <w:gridCol w:w="109"/>
        <w:gridCol w:w="109"/>
        <w:gridCol w:w="109"/>
        <w:gridCol w:w="109"/>
        <w:gridCol w:w="211"/>
        <w:gridCol w:w="436"/>
        <w:gridCol w:w="109"/>
        <w:gridCol w:w="109"/>
        <w:gridCol w:w="109"/>
        <w:gridCol w:w="109"/>
        <w:gridCol w:w="211"/>
        <w:gridCol w:w="541"/>
        <w:gridCol w:w="109"/>
        <w:gridCol w:w="109"/>
        <w:gridCol w:w="109"/>
        <w:gridCol w:w="109"/>
        <w:gridCol w:w="211"/>
        <w:gridCol w:w="466"/>
        <w:gridCol w:w="109"/>
        <w:gridCol w:w="109"/>
        <w:gridCol w:w="109"/>
        <w:gridCol w:w="109"/>
        <w:gridCol w:w="211"/>
        <w:gridCol w:w="406"/>
        <w:gridCol w:w="109"/>
        <w:gridCol w:w="109"/>
        <w:gridCol w:w="109"/>
        <w:gridCol w:w="109"/>
        <w:gridCol w:w="211"/>
        <w:gridCol w:w="25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Purchased Power and Fuel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Other, net</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gains (losses) included in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unrealized gains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bl>
    <w:tbl>
      <w:tblPr>
        <w:tblW w:w="9411" w:type="dxa"/>
        <w:jc w:val="left"/>
        <w:tblInd w:w="0" w:type="dxa"/>
        <w:tblLayout w:type="fixed"/>
        <w:tblCellMar>
          <w:top w:w="28" w:type="dxa"/>
          <w:left w:w="28" w:type="dxa"/>
          <w:bottom w:w="28" w:type="dxa"/>
          <w:right w:w="28" w:type="dxa"/>
        </w:tblCellMar>
      </w:tblPr>
      <w:tblGrid>
        <w:gridCol w:w="1302"/>
        <w:gridCol w:w="1147"/>
        <w:gridCol w:w="1151"/>
        <w:gridCol w:w="211"/>
        <w:gridCol w:w="466"/>
        <w:gridCol w:w="109"/>
        <w:gridCol w:w="109"/>
        <w:gridCol w:w="109"/>
        <w:gridCol w:w="109"/>
        <w:gridCol w:w="211"/>
        <w:gridCol w:w="256"/>
        <w:gridCol w:w="109"/>
        <w:gridCol w:w="109"/>
        <w:gridCol w:w="109"/>
        <w:gridCol w:w="109"/>
        <w:gridCol w:w="211"/>
        <w:gridCol w:w="541"/>
        <w:gridCol w:w="109"/>
        <w:gridCol w:w="109"/>
        <w:gridCol w:w="109"/>
        <w:gridCol w:w="109"/>
        <w:gridCol w:w="211"/>
        <w:gridCol w:w="436"/>
        <w:gridCol w:w="109"/>
        <w:gridCol w:w="109"/>
        <w:gridCol w:w="109"/>
        <w:gridCol w:w="109"/>
        <w:gridCol w:w="211"/>
        <w:gridCol w:w="256"/>
        <w:gridCol w:w="109"/>
        <w:gridCol w:w="109"/>
        <w:gridCol w:w="109"/>
        <w:gridCol w:w="109"/>
        <w:gridCol w:w="211"/>
        <w:gridCol w:w="256"/>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Purchased Power and Fuel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Other, net</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gains (losses) included in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unrealized gains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80"/>
        <w:jc w:val="both"/>
        <w:rPr>
          <w:rFonts w:ascii="Arial;sans-serif" w:hAnsi="Arial;sans-serif"/>
          <w:b/>
          <w:i/>
          <w:color w:val="000000"/>
          <w:sz w:val="18"/>
        </w:rPr>
      </w:pPr>
      <w:r>
        <w:rPr>
          <w:rFonts w:ascii="Arial;sans-serif" w:hAnsi="Arial;sans-serif"/>
          <w:b/>
          <w:i/>
          <w:color w:val="000000"/>
          <w:sz w:val="18"/>
        </w:rPr>
        <w:t>Derivatives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the significant inputs to the forward curve used to value these positions:</w:t>
      </w:r>
    </w:p>
    <w:tbl>
      <w:tblPr>
        <w:tblW w:w="10205" w:type="dxa"/>
        <w:jc w:val="center"/>
        <w:tblInd w:w="0" w:type="dxa"/>
        <w:tblLayout w:type="fixed"/>
        <w:tblCellMar>
          <w:top w:w="28" w:type="dxa"/>
          <w:left w:w="28" w:type="dxa"/>
          <w:bottom w:w="28" w:type="dxa"/>
          <w:right w:w="28" w:type="dxa"/>
        </w:tblCellMar>
      </w:tblPr>
      <w:tblGrid>
        <w:gridCol w:w="464"/>
        <w:gridCol w:w="406"/>
        <w:gridCol w:w="413"/>
        <w:gridCol w:w="109"/>
        <w:gridCol w:w="109"/>
        <w:gridCol w:w="109"/>
        <w:gridCol w:w="243"/>
        <w:gridCol w:w="522"/>
        <w:gridCol w:w="135"/>
        <w:gridCol w:w="109"/>
        <w:gridCol w:w="109"/>
        <w:gridCol w:w="109"/>
        <w:gridCol w:w="250"/>
        <w:gridCol w:w="578"/>
        <w:gridCol w:w="139"/>
        <w:gridCol w:w="109"/>
        <w:gridCol w:w="109"/>
        <w:gridCol w:w="109"/>
        <w:gridCol w:w="536"/>
        <w:gridCol w:w="289"/>
        <w:gridCol w:w="290"/>
        <w:gridCol w:w="109"/>
        <w:gridCol w:w="109"/>
        <w:gridCol w:w="109"/>
        <w:gridCol w:w="504"/>
        <w:gridCol w:w="504"/>
        <w:gridCol w:w="430"/>
        <w:gridCol w:w="109"/>
        <w:gridCol w:w="109"/>
        <w:gridCol w:w="109"/>
        <w:gridCol w:w="268"/>
        <w:gridCol w:w="181"/>
        <w:gridCol w:w="181"/>
        <w:gridCol w:w="225"/>
        <w:gridCol w:w="181"/>
        <w:gridCol w:w="186"/>
        <w:gridCol w:w="109"/>
        <w:gridCol w:w="109"/>
        <w:gridCol w:w="109"/>
        <w:gridCol w:w="310"/>
        <w:gridCol w:w="176"/>
        <w:gridCol w:w="176"/>
        <w:gridCol w:w="212"/>
        <w:gridCol w:w="176"/>
        <w:gridCol w:w="268"/>
      </w:tblGrid>
      <w:tr>
        <w:trPr/>
        <w:tc>
          <w:tcPr>
            <w:tcW w:w="46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Type of trade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Fair Value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Fair Value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2026 Range &amp; Arithmetic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2025 Range &amp; Arithmetic Average</w:t>
            </w:r>
          </w:p>
        </w:tc>
      </w:tr>
      <w:tr>
        <w:trPr/>
        <w:tc>
          <w:tcPr>
            <w:tcW w:w="1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5"/>
              </w:rPr>
              <w:t>Level 3 Derivatives—Economic hedges</w:t>
            </w:r>
            <w:r>
              <w:rPr>
                <w:rFonts w:ascii="Arial;sans-serif" w:hAnsi="Arial;sans-serif"/>
                <w:b w:val="false"/>
                <w:color w:val="000000"/>
                <w:sz w:val="10"/>
              </w:rPr>
              <w:t>(a)(b)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979 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5"/>
              </w:rPr>
            </w:pPr>
            <w:r>
              <w:rPr>
                <w:rFonts w:ascii="Arial;sans-serif" w:hAnsi="Arial;sans-serif"/>
                <w:b w:val="false"/>
                <w:color w:val="000000"/>
                <w:sz w:val="15"/>
              </w:rPr>
              <w:t>(232)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Forward power price (Non-congestion)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$0.32 - $164</w:t>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$4.77 - $154</w:t>
            </w:r>
          </w:p>
        </w:tc>
        <w:tc>
          <w:tcPr>
            <w:tcW w:w="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$54</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Forward power price (Congestion)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$11 - $168</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$3.14 - $154</w:t>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$50</w:t>
            </w:r>
          </w:p>
        </w:tc>
      </w:tr>
      <w:tr>
        <w:trPr/>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Forward gas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$0.65 - $18</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($0.46) - $15</w:t>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$3.52</w:t>
            </w:r>
          </w:p>
        </w:tc>
      </w:tr>
      <w:tr>
        <w:trPr/>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Option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5"/>
              </w:rPr>
            </w:pPr>
            <w:r>
              <w:rPr>
                <w:rFonts w:ascii="Arial;sans-serif" w:hAnsi="Arial;sans-serif"/>
                <w:b w:val="false"/>
                <w:color w:val="000000"/>
                <w:sz w:val="15"/>
              </w:rPr>
              <w:t>Volatility percentage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7% - 121%</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14% - 197%</w:t>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5"/>
              </w:rPr>
            </w:pPr>
            <w:r>
              <w:rPr>
                <w:rFonts w:ascii="Arial;sans-serif" w:hAnsi="Arial;sans-serif"/>
                <w:b w:val="false"/>
                <w:color w:val="000000"/>
                <w:sz w:val="15"/>
              </w:rPr>
              <w:t>59%</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(a)The valuation techniques, unobservable inputs, ranges, and arithmetic averages are the same for the asset and liability positions.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fair values do not include cash collateral posted (received) on Level 3 positions of $684 million and $372 million as of June 30, 2026 and December 31, 2025, respectively.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The inputs listed above, which are as of the balance sheet date, would have a direct impact on the fair values of the above instruments if they were adjusted. The significant unobservable inputs used in the fair value measurement of our commodity derivatives are forward commodity prices and for options is price volatility. Increases (decreases) in the forward commodity price in isolation would result in significantly higher (lower) fair values for long positions (contracts that give us the obligation or option to purchase a commodity), with offsetting impacts to short positions (contracts that give us the obligation or right to sell a commodity). Increases (decreases) in volatility would increase (decrease) the value for the holder of the option (writer of the option). Generally, a change in the estimate of forward commodity prices is unrelated to a change in the estimate of volatility of prices. Generally, interrelationships exist between market prices of natural gas and power. As such, an increase in natural gas pricing would potentially have a similar impact on forward power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08025"/>
                <wp:effectExtent l="0" t="0" r="0" b="0"/>
                <wp:wrapNone/>
                <wp:docPr id="47" name="Frame47"/>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15 — Commitments and Contingencies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15. Commitments and Contingencies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Commitments</w:t>
      </w:r>
    </w:p>
    <w:p>
      <w:pPr>
        <w:pStyle w:val="TextBody"/>
        <w:bidi w:val="0"/>
        <w:spacing w:lineRule="auto" w:line="288" w:before="180" w:after="180"/>
        <w:jc w:val="both"/>
        <w:rPr/>
      </w:pPr>
      <w:r>
        <w:rPr>
          <w:rFonts w:ascii="Arial;sans-serif" w:hAnsi="Arial;sans-serif"/>
          <w:b/>
          <w:i/>
          <w:color w:val="000000"/>
          <w:sz w:val="18"/>
        </w:rPr>
        <w:t xml:space="preserve">Commercial Commitments. </w:t>
      </w:r>
      <w:r>
        <w:rPr>
          <w:rFonts w:ascii="Arial;sans-serif" w:hAnsi="Arial;sans-serif"/>
          <w:b w:val="false"/>
          <w:color w:val="000000"/>
          <w:sz w:val="18"/>
        </w:rPr>
        <w:t>Commercial commitments as of June 30, 2026, representing commitments potentially triggered by future events, were as follows:</w:t>
      </w:r>
    </w:p>
    <w:tbl>
      <w:tblPr>
        <w:tblW w:w="10205" w:type="dxa"/>
        <w:jc w:val="center"/>
        <w:tblInd w:w="0" w:type="dxa"/>
        <w:tblLayout w:type="fixed"/>
        <w:tblCellMar>
          <w:top w:w="28" w:type="dxa"/>
          <w:left w:w="28" w:type="dxa"/>
          <w:bottom w:w="28" w:type="dxa"/>
          <w:right w:w="28" w:type="dxa"/>
        </w:tblCellMar>
      </w:tblPr>
      <w:tblGrid>
        <w:gridCol w:w="969"/>
        <w:gridCol w:w="663"/>
        <w:gridCol w:w="630"/>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256"/>
        <w:gridCol w:w="109"/>
        <w:gridCol w:w="109"/>
        <w:gridCol w:w="109"/>
        <w:gridCol w:w="109"/>
        <w:gridCol w:w="278"/>
        <w:gridCol w:w="615"/>
        <w:gridCol w:w="143"/>
        <w:gridCol w:w="109"/>
        <w:gridCol w:w="109"/>
        <w:gridCol w:w="109"/>
        <w:gridCol w:w="211"/>
        <w:gridCol w:w="616"/>
        <w:gridCol w:w="158"/>
      </w:tblGrid>
      <w:tr>
        <w:trPr/>
        <w:tc>
          <w:tcPr>
            <w:tcW w:w="96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Expiration within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2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Letters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Surety bonds</w:t>
            </w:r>
            <w:r>
              <w:rPr>
                <w:rFonts w:ascii="Arial;sans-serif" w:hAnsi="Arial;sans-serif"/>
                <w:b w:val="false"/>
                <w:color w:val="000000"/>
                <w:sz w:val="12"/>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Guarantee under the Calpine AR Facility</w:t>
            </w:r>
            <w:r>
              <w:rPr>
                <w:rFonts w:ascii="Arial;sans-serif" w:hAnsi="Arial;sans-serif"/>
                <w:b w:val="false"/>
                <w:color w:val="000000"/>
                <w:sz w:val="12"/>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Total commercial commitments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(a)Surety bonds — Guarantees issued related to contract and commercial agreements, excluding bid bonds.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(b)We have guaranteed the performance of Calpine Energy Solutions, LLC to Calpine Receivables, LLC under the Calpine AR Facility. The commitment represents the gross amount of sold receivables that are currently outstanding, limited to $550 million per the guarantee agreement. Refer to Note 7 — Accounts Receivable for additional information.</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First Priority Liens for Commodity Procurement and Risk Management Activities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Following the acquisition of Calpine in January 2026, the Company has assumed additional first-priority liens on Calpine assets, which are currently subject to first priority liens under various debt agreements, as collateral under certain of our power and natural gas agreements and certain of the interest rate swaps in order to reduce the cash collateral and letters of credit that would otherwise be provided to the counterparties under such agreements. The counterparties under such agreements share the benefits of the collateral subject to such first priority liens pro rata with the lenders under various debt agreements. As of June 30, 2026, the exposure was $167 million under these first priority liens for power and natural gas agreements and no exposure for the interest rate swaps.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Environmental Remediation Matters</w:t>
      </w:r>
    </w:p>
    <w:p>
      <w:pPr>
        <w:pStyle w:val="TextBody"/>
        <w:bidi w:val="0"/>
        <w:spacing w:lineRule="auto" w:line="288" w:before="180" w:after="180"/>
        <w:jc w:val="both"/>
        <w:rPr/>
      </w:pPr>
      <w:r>
        <w:rPr>
          <w:rFonts w:ascii="Arial;sans-serif" w:hAnsi="Arial;sans-serif"/>
          <w:b/>
          <w:i/>
          <w:color w:val="000000"/>
          <w:sz w:val="18"/>
        </w:rPr>
        <w:t>General.</w:t>
      </w:r>
      <w:r>
        <w:rPr>
          <w:color w:val="000000"/>
        </w:rPr>
        <w:t xml:space="preserve"> </w:t>
      </w:r>
      <w:r>
        <w:rPr>
          <w:rFonts w:ascii="Arial;sans-serif" w:hAnsi="Arial;sans-serif"/>
          <w:b w:val="false"/>
          <w:color w:val="000000"/>
          <w:sz w:val="18"/>
        </w:rPr>
        <w:t>Our operations have in the past, and may in the future, require substantial expenditures to comply with environmental laws. Additionally, under Federal and state environmental laws, we are generally liable for the costs of remediating environmental contamination of property currently or formerly owned by us and of property contaminated by hazardous substances generated by us. We own or lease several real estate parcels, including parcels on which our operations or the operations of others may have resulted in contamination by substances that are considered hazardous under environmental laws. In addition, we are currently involved in proceedings relating to sites where hazardous substances have been deposited and may be subject to additional proceedings in the future. Unless otherwise disclosed, we cannot reasonably estimate whether we will incur significant liabilities for additional investigation and remediation costs at these or additional sites identified by us, environmental agencies, or others. Additional costs could have a material, unfavorable impact on our consolidated financial statements.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we had accrued undiscounted amounts for environmental liabilities of $14 million and $9 million, respectively, in Accounts payable and accrued expenses and $162 million and $169 million, respectively, in Other deferred credits and other liabilities in the Consolidated Balance Sheets. See Note 18 — Commitments and Contingencies of our 2025 Form 10-K for additional information on environmental remediation matters. As of June 30, 2026, and through the date of filing, there have been no material changes in amounts recognized for the matters discussed in our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08025"/>
                <wp:effectExtent l="0" t="0" r="0" b="0"/>
                <wp:wrapNone/>
                <wp:docPr id="48" name="Frame48"/>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15 — Commitments and Contingencies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Litigation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are involved in various litigation matters that are being defended and handled in the ordinary course of business. The assessment of whether a loss is probable or reasonably possible, and whether the loss or a range of loss is estimable, often involves a series of complex judgments about future events. We maintain accruals for such losses that are probable of being incurred and subject to reasonable estimation. Management is sometimes unable to estimate an amount or range of reasonably possible loss, particularly where (1) the damages sought are indeterminate, (2) the proceedings are in the early stages, or (3) the matters involve novel or unsettled legal theories. In such cases, there is considerable uncertainty regarding the timing or ultimate resolution of such matters, including a possible eventual loss.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we had accrued $28 million and $15 million, respectively, in Accounts payable and accrued expenses and $122 million and $113 million, respectively, in Other deferred credits and other liabilities in the Consolidated Balance Sheets for liabilities related to litigation matters, including asbestos personal injury claims. See Note 18 — Commitments and Contingencies of our 2025 Form 10-K for additional information on asbestos personal injury claims. As of June 30, 2026, and through the date of filing, there have been no material changes in amounts recognized for the matters discussed in our 2025 Form 10-K.</w:t>
      </w:r>
    </w:p>
    <w:p>
      <w:pPr>
        <w:pStyle w:val="TextBody"/>
        <w:bidi w:val="0"/>
        <w:spacing w:lineRule="auto" w:line="268" w:before="0" w:after="0"/>
        <w:jc w:val="both"/>
        <w:rPr/>
      </w:pPr>
      <w:r>
        <w:rPr>
          <w:rFonts w:ascii="Arial;sans-serif" w:hAnsi="Arial;sans-serif"/>
          <w:b/>
          <w:i/>
          <w:color w:val="000000"/>
          <w:sz w:val="18"/>
        </w:rPr>
        <w:t xml:space="preserve">Impacts of the February 2021 Extreme Cold Weather Event and Texas-based Generating Assets Outages. </w:t>
      </w:r>
      <w:r>
        <w:rPr>
          <w:rFonts w:ascii="Arial;sans-serif" w:hAnsi="Arial;sans-serif"/>
          <w:b w:val="false"/>
          <w:color w:val="000000"/>
          <w:sz w:val="18"/>
        </w:rPr>
        <w:t>Calpine was acquired on January 7, 2026, and is party to the same ongoing litigation proceedings as Constellation. See Note 18 — Commitments and Contingencies of our 2025 Form 10-K for additional information on this matter, which is likewise representative of the ongoing proceedings as it pertains to Calpine.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March 2026, the Supreme Court of Texas denied plaintiffs’ petitions for a writ of mandamus in all five bellwether appeals. In July 2026, the Court denied plaintiffs' motions for rehearing. The parties will now return to the Multi-District-Litigation court to effect dismissal of all remaining Winter Storm Uri tort claims pending against the power generator defendants.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16. Shareholders' Equity</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Share Repurchase Program (CEG Parent)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During 2026, our Board of Directors approved a $4.4 billion increase relative to the remaining $0.6 billion authorization under our share repurchase program. No other repurchase plans or programs have been authorized. As of the date of this filing, we have approximately $2.8 billion of remaining authority for repurchases, which includes the impact of the repurchases discussed below. See Note 19 — Shareholders' Equity of our 2025 Form 10-K for additional information on our share repurchase program.</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During the three and six months ended June 30, 2026, we repurchased approximately 7.1 million shares of our common stock in the open market for approximately $2.0 billion, inclusive of open market purchases and the secondary public offering discussed further in Note 2 — Mergers, Acquisitions, and Dispositions. In July 2026, we repurchased an additional one million shares for approximately $250 million. </w:t>
      </w:r>
    </w:p>
    <w:p>
      <w:pPr>
        <w:pStyle w:val="TextBody"/>
        <w:bidi w:val="0"/>
        <w:spacing w:lineRule="auto" w:line="288" w:before="180" w:after="180"/>
        <w:jc w:val="both"/>
        <w:rPr/>
      </w:pPr>
      <w:r>
        <w:rPr>
          <w:rFonts w:ascii="Arial;sans-serif" w:hAnsi="Arial;sans-serif"/>
          <w:b/>
          <w:i/>
          <w:color w:val="000000"/>
          <w:sz w:val="18"/>
        </w:rPr>
        <w:t xml:space="preserve">ASR Agreements. </w:t>
      </w:r>
      <w:r>
        <w:rPr>
          <w:rFonts w:ascii="Arial;sans-serif" w:hAnsi="Arial;sans-serif"/>
          <w:b w:val="false"/>
          <w:color w:val="000000"/>
          <w:sz w:val="18"/>
        </w:rPr>
        <w:t>In June 2025, we entered into an ASR agreement with a financial institution to initiate share repurchases of our common stock. Under the ASR agreement, we paid a specified amount to the financial institution and received an initial delivery of shares of common stock based on 80% of the ASR agreement's cost, which resulted in an immediate reduction in the number of our shares outstanding, with incremental shares delivered upon settlement of the ASR.</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summarizes the ASR agreement for the six months ended June 30, 2025:</w:t>
      </w:r>
    </w:p>
    <w:tbl>
      <w:tblPr>
        <w:tblW w:w="10205" w:type="dxa"/>
        <w:jc w:val="left"/>
        <w:tblInd w:w="0" w:type="dxa"/>
        <w:tblLayout w:type="fixed"/>
        <w:tblCellMar>
          <w:top w:w="28" w:type="dxa"/>
          <w:left w:w="28" w:type="dxa"/>
          <w:bottom w:w="28" w:type="dxa"/>
          <w:right w:w="28" w:type="dxa"/>
        </w:tblCellMar>
      </w:tblPr>
      <w:tblGrid>
        <w:gridCol w:w="410"/>
        <w:gridCol w:w="359"/>
        <w:gridCol w:w="361"/>
        <w:gridCol w:w="130"/>
        <w:gridCol w:w="130"/>
        <w:gridCol w:w="130"/>
        <w:gridCol w:w="252"/>
        <w:gridCol w:w="557"/>
        <w:gridCol w:w="130"/>
        <w:gridCol w:w="130"/>
        <w:gridCol w:w="130"/>
        <w:gridCol w:w="130"/>
        <w:gridCol w:w="334"/>
        <w:gridCol w:w="334"/>
        <w:gridCol w:w="336"/>
        <w:gridCol w:w="109"/>
        <w:gridCol w:w="109"/>
        <w:gridCol w:w="109"/>
        <w:gridCol w:w="385"/>
        <w:gridCol w:w="385"/>
        <w:gridCol w:w="386"/>
        <w:gridCol w:w="109"/>
        <w:gridCol w:w="109"/>
        <w:gridCol w:w="109"/>
        <w:gridCol w:w="378"/>
        <w:gridCol w:w="378"/>
        <w:gridCol w:w="380"/>
        <w:gridCol w:w="109"/>
        <w:gridCol w:w="109"/>
        <w:gridCol w:w="109"/>
        <w:gridCol w:w="438"/>
        <w:gridCol w:w="438"/>
        <w:gridCol w:w="440"/>
        <w:gridCol w:w="109"/>
        <w:gridCol w:w="109"/>
        <w:gridCol w:w="109"/>
        <w:gridCol w:w="276"/>
        <w:gridCol w:w="945"/>
        <w:gridCol w:w="215"/>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853"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 except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ASR Agreement Initiation</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Cost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Initial Shares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ASR Agreement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Additional Shares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Average Price Paid per Share</w:t>
            </w:r>
          </w:p>
        </w:tc>
      </w:tr>
      <w:tr>
        <w:trPr/>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June 2025</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311.84 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08025"/>
                <wp:effectExtent l="0" t="0" r="0" b="0"/>
                <wp:wrapNone/>
                <wp:docPr id="49" name="Frame49"/>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16 — Shareholders' Equity</w:t>
      </w:r>
    </w:p>
    <w:p>
      <w:pPr>
        <w:pStyle w:val="TextBody"/>
        <w:bidi w:val="0"/>
        <w:spacing w:lineRule="auto" w:line="288" w:before="180" w:after="180"/>
        <w:jc w:val="both"/>
        <w:rPr/>
      </w:pPr>
      <w:r>
        <w:rPr>
          <w:rFonts w:ascii="Arial;sans-serif" w:hAnsi="Arial;sans-serif"/>
          <w:b/>
          <w:i/>
          <w:color w:val="000000"/>
          <w:sz w:val="18"/>
        </w:rPr>
        <w:t xml:space="preserve">Capped Call Options. </w:t>
      </w:r>
      <w:r>
        <w:rPr>
          <w:rFonts w:ascii="Arial;sans-serif" w:hAnsi="Arial;sans-serif"/>
          <w:b w:val="false"/>
          <w:color w:val="000000"/>
          <w:sz w:val="18"/>
        </w:rPr>
        <w:t>During the first quarter of 2025, we entered into two structured share repurchase agreements. Under these agreements, we made up-front cash payments of $150 million in the first quarter of 2025 in exchange for the right to receive a predetermined amount of shares of our common stock or cash at expiration. Neither option was exercised during the second and third quarter of 2025, therefore we did not receive any shares at expiration. As a result, we received our initial up-front cash payments of $150 million plus a nominal cash premium during the second and third quarters of 2025. The cash received restored the remaining authority available for repurchases.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Changes in Accumulated Other Comprehensive Income (Loss) (All Registrants)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present changes in AOCI, net of tax, by component:</w:t>
      </w:r>
    </w:p>
    <w:tbl>
      <w:tblPr>
        <w:tblW w:w="10205" w:type="dxa"/>
        <w:jc w:val="left"/>
        <w:tblInd w:w="0" w:type="dxa"/>
        <w:tblLayout w:type="fixed"/>
        <w:tblCellMar>
          <w:top w:w="28" w:type="dxa"/>
          <w:left w:w="28" w:type="dxa"/>
          <w:bottom w:w="28" w:type="dxa"/>
          <w:right w:w="28" w:type="dxa"/>
        </w:tblCellMar>
      </w:tblPr>
      <w:tblGrid>
        <w:gridCol w:w="967"/>
        <w:gridCol w:w="817"/>
        <w:gridCol w:w="808"/>
        <w:gridCol w:w="743"/>
        <w:gridCol w:w="1164"/>
        <w:gridCol w:w="384"/>
        <w:gridCol w:w="109"/>
        <w:gridCol w:w="109"/>
        <w:gridCol w:w="109"/>
        <w:gridCol w:w="365"/>
        <w:gridCol w:w="1190"/>
        <w:gridCol w:w="187"/>
        <w:gridCol w:w="109"/>
        <w:gridCol w:w="109"/>
        <w:gridCol w:w="109"/>
        <w:gridCol w:w="432"/>
        <w:gridCol w:w="887"/>
        <w:gridCol w:w="222"/>
        <w:gridCol w:w="109"/>
        <w:gridCol w:w="109"/>
        <w:gridCol w:w="109"/>
        <w:gridCol w:w="211"/>
        <w:gridCol w:w="686"/>
        <w:gridCol w:w="161"/>
      </w:tblGrid>
      <w:tr>
        <w:trPr/>
        <w:tc>
          <w:tcPr>
            <w:tcW w:w="96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Three Months Ended June 30, 2026</w:t>
            </w:r>
          </w:p>
        </w:tc>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Pension and OPEB Items</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Total</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(2,411)</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current-period OCI</w:t>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Three Months Ended June 30, 2025</w:t>
            </w:r>
          </w:p>
        </w:tc>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7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current-period OCI</w:t>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(2,263)</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154" w:type="dxa"/>
        <w:jc w:val="left"/>
        <w:tblInd w:w="0" w:type="dxa"/>
        <w:tblLayout w:type="fixed"/>
        <w:tblCellMar>
          <w:top w:w="28" w:type="dxa"/>
          <w:left w:w="28" w:type="dxa"/>
          <w:bottom w:w="28" w:type="dxa"/>
          <w:right w:w="28" w:type="dxa"/>
        </w:tblCellMar>
      </w:tblPr>
      <w:tblGrid>
        <w:gridCol w:w="979"/>
        <w:gridCol w:w="855"/>
        <w:gridCol w:w="865"/>
        <w:gridCol w:w="211"/>
        <w:gridCol w:w="331"/>
        <w:gridCol w:w="109"/>
        <w:gridCol w:w="109"/>
        <w:gridCol w:w="109"/>
        <w:gridCol w:w="109"/>
        <w:gridCol w:w="211"/>
        <w:gridCol w:w="691"/>
        <w:gridCol w:w="109"/>
        <w:gridCol w:w="109"/>
        <w:gridCol w:w="109"/>
        <w:gridCol w:w="109"/>
        <w:gridCol w:w="211"/>
        <w:gridCol w:w="436"/>
        <w:gridCol w:w="109"/>
        <w:gridCol w:w="109"/>
        <w:gridCol w:w="109"/>
        <w:gridCol w:w="109"/>
        <w:gridCol w:w="211"/>
        <w:gridCol w:w="691"/>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Six Months Ended June 30, 2026</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current-period OCI</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Six Months Ended June 30, 2025</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current-period OCI</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(a)AOCI amounts are included in the computation of net periodic pension and OPEB cost. See Note 11 — Retirement Benefits for additional information. See our Consolidated Statements of Operations and Comprehensive Income for individual components of AOCI.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08025"/>
                <wp:effectExtent l="0" t="0" r="0" b="0"/>
                <wp:wrapNone/>
                <wp:docPr id="50" name="Frame50"/>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center"/>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16 — Shareholders' Equity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income tax (expense) benefit allocated to each component of our other comprehensive income (loss):</w:t>
      </w:r>
    </w:p>
    <w:tbl>
      <w:tblPr>
        <w:tblW w:w="8251" w:type="dxa"/>
        <w:jc w:val="left"/>
        <w:tblInd w:w="0" w:type="dxa"/>
        <w:tblLayout w:type="fixed"/>
        <w:tblCellMar>
          <w:top w:w="28" w:type="dxa"/>
          <w:left w:w="28" w:type="dxa"/>
          <w:bottom w:w="28" w:type="dxa"/>
          <w:right w:w="28" w:type="dxa"/>
        </w:tblCellMar>
      </w:tblPr>
      <w:tblGrid>
        <w:gridCol w:w="1471"/>
        <w:gridCol w:w="1291"/>
        <w:gridCol w:w="1302"/>
        <w:gridCol w:w="256"/>
        <w:gridCol w:w="402"/>
        <w:gridCol w:w="132"/>
        <w:gridCol w:w="132"/>
        <w:gridCol w:w="132"/>
        <w:gridCol w:w="132"/>
        <w:gridCol w:w="256"/>
        <w:gridCol w:w="402"/>
        <w:gridCol w:w="132"/>
        <w:gridCol w:w="109"/>
        <w:gridCol w:w="109"/>
        <w:gridCol w:w="109"/>
        <w:gridCol w:w="211"/>
        <w:gridCol w:w="436"/>
        <w:gridCol w:w="109"/>
        <w:gridCol w:w="109"/>
        <w:gridCol w:w="109"/>
        <w:gridCol w:w="109"/>
        <w:gridCol w:w="211"/>
        <w:gridCol w:w="436"/>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and OPEB plans:</w:t>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Actuarial loss reclassified to periodic benefit cost</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and OPEB plans valuation adjustment</w:t>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 xml:space="preserve">17. Variable Interest Entities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At June 30, 2026 and December 31, 2025, we consolidated several VIEs or VIE groups for which we are the primary beneficiary (see Consolidated VIEs below) and had significant interests in several other VIEs for which we do not have the power to direct the entities’ activities and, accordingly, we were not the primary beneficiary (see Unconsolidated VIEs below). Consolidated and unconsolidated VIEs are aggregated to the extent that the entities have similar risk profiles.</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Consolidated VIEs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table below shows the carrying amounts and classification of the consolidated VIEs’ assets and liabilities included in the consolidated financial statements as of June 30, 2026 and December 31, 2025. The assets, except as noted in the footnotes to the table below, can only be used to settle obligations of the VIEs. The liabilities, except as noted in the footnotes to the table below, are such that creditors, or beneficiaries, do not have recourse to our general credit.</w:t>
      </w:r>
    </w:p>
    <w:tbl>
      <w:tblPr>
        <w:tblW w:w="6177" w:type="dxa"/>
        <w:jc w:val="left"/>
        <w:tblInd w:w="0" w:type="dxa"/>
        <w:tblLayout w:type="fixed"/>
        <w:tblCellMar>
          <w:top w:w="28" w:type="dxa"/>
          <w:left w:w="28" w:type="dxa"/>
          <w:bottom w:w="28" w:type="dxa"/>
          <w:right w:w="28" w:type="dxa"/>
        </w:tblCellMar>
      </w:tblPr>
      <w:tblGrid>
        <w:gridCol w:w="1260"/>
        <w:gridCol w:w="1107"/>
        <w:gridCol w:w="1113"/>
        <w:gridCol w:w="223"/>
        <w:gridCol w:w="652"/>
        <w:gridCol w:w="115"/>
        <w:gridCol w:w="109"/>
        <w:gridCol w:w="109"/>
        <w:gridCol w:w="109"/>
        <w:gridCol w:w="297"/>
        <w:gridCol w:w="867"/>
        <w:gridCol w:w="216"/>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2,326 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Property, plant, and equipment, net </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deferred debits and other assets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Total assets</w:t>
            </w:r>
            <w:r>
              <w:rPr>
                <w:rFonts w:ascii="Arial;sans-serif" w:hAnsi="Arial;sans-serif"/>
                <w:b w:val="false"/>
                <w:color w:val="000000"/>
                <w:sz w:val="12"/>
              </w:rPr>
              <w:t>(a)</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due within one year</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 and accrued expenses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deferred credits and other liabilities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(a)Our balances include unrestricted assets for current UEC assets of $17 million and $17 million, disclosed within other current assets in the table above, and noncurrent UEC assets of $108 million and $116 million, disclosed within other noncurrent assets in the table above,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8025"/>
                <wp:effectExtent l="0" t="0" r="0" b="0"/>
                <wp:wrapNone/>
                <wp:docPr id="51" name="Frame51"/>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49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17 — Variable Interest Entities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our consolidated VIEs included the following:</w:t>
      </w:r>
    </w:p>
    <w:tbl>
      <w:tblPr>
        <w:tblW w:w="10205" w:type="dxa"/>
        <w:jc w:val="center"/>
        <w:tblInd w:w="0" w:type="dxa"/>
        <w:tblLayout w:type="fixed"/>
        <w:tblCellMar>
          <w:top w:w="28" w:type="dxa"/>
          <w:left w:w="28" w:type="dxa"/>
          <w:bottom w:w="28" w:type="dxa"/>
          <w:right w:w="28" w:type="dxa"/>
        </w:tblCellMar>
      </w:tblPr>
      <w:tblGrid>
        <w:gridCol w:w="1770"/>
        <w:gridCol w:w="1407"/>
        <w:gridCol w:w="1415"/>
        <w:gridCol w:w="109"/>
        <w:gridCol w:w="109"/>
        <w:gridCol w:w="109"/>
        <w:gridCol w:w="1335"/>
        <w:gridCol w:w="1066"/>
        <w:gridCol w:w="972"/>
        <w:gridCol w:w="109"/>
        <w:gridCol w:w="109"/>
        <w:gridCol w:w="109"/>
        <w:gridCol w:w="576"/>
        <w:gridCol w:w="416"/>
        <w:gridCol w:w="594"/>
      </w:tblGrid>
      <w:tr>
        <w:trPr/>
        <w:tc>
          <w:tcPr>
            <w:tcW w:w="177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Consolidated VIE or VIE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Reason entity is a 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Reason we are the primary beneficiary:</w:t>
            </w:r>
          </w:p>
        </w:tc>
      </w:tr>
      <w:tr>
        <w:trPr/>
        <w:tc>
          <w:tcPr>
            <w:tcW w:w="4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CRP - A collection of wind and solar project entities. We have a 51% equity ownership in CRP. See Note 21 - Variable Interest Entities of our 2025 Form 10-K for additional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Similar structure to a limited partnership and the limited partners do not have kick-out rights with respect to the general partner.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 conduct the operational activities.</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Bluestem Wind Energy Holdings, LLC - A Tax Equity structure which is consolidated by CRP.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Similar structure to a limited partnership and the limited partners do not have kick-out rights with respect to the general partner.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 conduct the operational activities.</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Antelope Valley - A solar generating facility, which is 100% owned by us. Antelope Valley sells all of its output to PG&amp;E through a PPA.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 PPA contract absorbs variability through a performance guarantee.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 conduct all activities.</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NER - A bankruptcy remote, special purpose entity which is 100% owned by us, which purchases certain of our customer accounts receivable arising from the sale of retail electricity and gas.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NER’s assets will be available first and foremost to satisfy the claims of the creditors of NER. Refer to Note 7 —Accounts Receivable for additional information on the sale of receivables.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capitalization is insufficient to support its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 conduct all activities.</w:t>
            </w:r>
          </w:p>
        </w:tc>
      </w:tr>
    </w:tbl>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Unconsolidated VIEs</w:t>
      </w:r>
    </w:p>
    <w:p>
      <w:pPr>
        <w:pStyle w:val="TextBody"/>
        <w:bidi w:val="0"/>
        <w:spacing w:lineRule="auto" w:line="288" w:before="180" w:after="180"/>
        <w:jc w:val="both"/>
        <w:rPr/>
      </w:pPr>
      <w:r>
        <w:rPr>
          <w:rFonts w:ascii="Arial;sans-serif" w:hAnsi="Arial;sans-serif"/>
          <w:b w:val="false"/>
          <w:color w:val="000000"/>
          <w:sz w:val="18"/>
        </w:rPr>
        <w:t>Our variable interests in unconsolidated VIEs generally include an equity method investment and energy purchase and sale contracts. For the equity investment, the carrying amount of the investment is reflected in the Consolidated Balance Sheets in Other deferred debits and other assets, see Note 18 — Supplemental Financial Information for additional information</w:t>
      </w:r>
      <w:r>
        <w:rPr>
          <w:rFonts w:ascii="Arial;sans-serif" w:hAnsi="Arial;sans-serif"/>
          <w:b w:val="false"/>
          <w:color w:val="000000"/>
          <w:sz w:val="16"/>
        </w:rPr>
        <w:t xml:space="preserve">. </w:t>
      </w:r>
      <w:r>
        <w:rPr>
          <w:rFonts w:ascii="Arial;sans-serif" w:hAnsi="Arial;sans-serif"/>
          <w:b w:val="false"/>
          <w:color w:val="000000"/>
          <w:sz w:val="18"/>
        </w:rPr>
        <w:t>For the energy purchase and sale contracts (commercial agreements), the carrying amount of assets and liabilities in the Consolidated Balance Sheets that relate to our involvement with the VIEs are predominantly related to working capital accounts and generally represent the amounts owed by, or owed to, us for the deliveries associated with the current billing cycles under the commercial agreements.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we had significant unconsolidated variable interests in several VIEs for which we were not the primary beneficiary. These interests include certain commercial and securitization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08025"/>
                <wp:effectExtent l="0" t="0" r="0" b="0"/>
                <wp:wrapNone/>
                <wp:docPr id="52" name="Frame52"/>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17 — Variable Interest Entities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summary information about our significant unconsolidated VIE entities:</w:t>
      </w:r>
    </w:p>
    <w:tbl>
      <w:tblPr>
        <w:tblW w:w="10205" w:type="dxa"/>
        <w:jc w:val="left"/>
        <w:tblInd w:w="0" w:type="dxa"/>
        <w:tblLayout w:type="fixed"/>
        <w:tblCellMar>
          <w:top w:w="28" w:type="dxa"/>
          <w:left w:w="28" w:type="dxa"/>
          <w:bottom w:w="28" w:type="dxa"/>
          <w:right w:w="28" w:type="dxa"/>
        </w:tblCellMar>
      </w:tblPr>
      <w:tblGrid>
        <w:gridCol w:w="745"/>
        <w:gridCol w:w="527"/>
        <w:gridCol w:w="523"/>
        <w:gridCol w:w="361"/>
        <w:gridCol w:w="800"/>
        <w:gridCol w:w="189"/>
        <w:gridCol w:w="109"/>
        <w:gridCol w:w="109"/>
        <w:gridCol w:w="109"/>
        <w:gridCol w:w="308"/>
        <w:gridCol w:w="682"/>
        <w:gridCol w:w="161"/>
        <w:gridCol w:w="109"/>
        <w:gridCol w:w="109"/>
        <w:gridCol w:w="109"/>
        <w:gridCol w:w="211"/>
        <w:gridCol w:w="616"/>
        <w:gridCol w:w="109"/>
        <w:gridCol w:w="109"/>
        <w:gridCol w:w="109"/>
        <w:gridCol w:w="109"/>
        <w:gridCol w:w="361"/>
        <w:gridCol w:w="800"/>
        <w:gridCol w:w="189"/>
        <w:gridCol w:w="109"/>
        <w:gridCol w:w="109"/>
        <w:gridCol w:w="109"/>
        <w:gridCol w:w="334"/>
        <w:gridCol w:w="644"/>
        <w:gridCol w:w="174"/>
        <w:gridCol w:w="109"/>
        <w:gridCol w:w="109"/>
        <w:gridCol w:w="109"/>
        <w:gridCol w:w="211"/>
        <w:gridCol w:w="466"/>
        <w:gridCol w:w="159"/>
      </w:tblGrid>
      <w:tr>
        <w:trPr/>
        <w:tc>
          <w:tcPr>
            <w:tcW w:w="74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Commercial Agreement 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Equity Investment 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Commercial Agreement 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Equity Investment 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Total</w:t>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Total assets</w:t>
            </w:r>
            <w:r>
              <w:rPr>
                <w:rFonts w:ascii="Arial;sans-serif" w:hAnsi="Arial;sans-serif"/>
                <w:b w:val="false"/>
                <w:color w:val="000000"/>
                <w:sz w:val="12"/>
              </w:rPr>
              <w:t>(a)</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liabilities</w:t>
            </w:r>
            <w:r>
              <w:rPr>
                <w:rFonts w:ascii="Arial;sans-serif" w:hAnsi="Arial;sans-serif"/>
                <w:b w:val="false"/>
                <w:color w:val="000000"/>
                <w:sz w:val="12"/>
              </w:rPr>
              <w:t>(a)</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ownership interests in VIE</w:t>
            </w:r>
            <w:r>
              <w:rPr>
                <w:rFonts w:ascii="Arial;sans-serif" w:hAnsi="Arial;sans-serif"/>
                <w:b w:val="false"/>
                <w:color w:val="000000"/>
                <w:sz w:val="12"/>
              </w:rPr>
              <w:t>(a)</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179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 xml:space="preserve">These items represent amounts on the unconsolidated VIE balance sheets, not in the Consolidated Balance Sheets. These items are included to provide information regarding the relative size of the unconsolidated VIEs.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and December 31, 2025, the unconsolidated VIEs consist of:</w:t>
      </w:r>
    </w:p>
    <w:tbl>
      <w:tblPr>
        <w:tblW w:w="10205" w:type="dxa"/>
        <w:jc w:val="left"/>
        <w:tblInd w:w="0" w:type="dxa"/>
        <w:tblLayout w:type="fixed"/>
        <w:tblCellMar>
          <w:top w:w="28" w:type="dxa"/>
          <w:left w:w="28" w:type="dxa"/>
          <w:bottom w:w="28" w:type="dxa"/>
          <w:right w:w="28" w:type="dxa"/>
        </w:tblCellMar>
      </w:tblPr>
      <w:tblGrid>
        <w:gridCol w:w="1866"/>
        <w:gridCol w:w="1581"/>
        <w:gridCol w:w="1585"/>
        <w:gridCol w:w="109"/>
        <w:gridCol w:w="109"/>
        <w:gridCol w:w="109"/>
        <w:gridCol w:w="998"/>
        <w:gridCol w:w="529"/>
        <w:gridCol w:w="532"/>
        <w:gridCol w:w="109"/>
        <w:gridCol w:w="109"/>
        <w:gridCol w:w="109"/>
        <w:gridCol w:w="889"/>
        <w:gridCol w:w="649"/>
        <w:gridCol w:w="922"/>
      </w:tblGrid>
      <w:tr>
        <w:trPr/>
        <w:tc>
          <w:tcPr>
            <w:tcW w:w="186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Unconsolidated VIE or VIE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Reason entity is a 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Reason we are not the primary beneficiary:</w:t>
            </w:r>
          </w:p>
        </w:tc>
      </w:tr>
      <w:tr>
        <w:trPr/>
        <w:tc>
          <w:tcPr>
            <w:tcW w:w="5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Purchase and Sale agreements - We have several energy purchase and sale agreements with generating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PPA contracts that absorb variability through fixed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 do not conduct the operational activities.</w:t>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Calpine Receivables, LLC</w:t>
            </w:r>
            <w:r>
              <w:rPr>
                <w:rFonts w:ascii="Arial;sans-serif" w:hAnsi="Arial;sans-serif"/>
                <w:b w:val="false"/>
                <w:color w:val="000000"/>
                <w:sz w:val="12"/>
              </w:rPr>
              <w:t>(a)</w:t>
            </w:r>
            <w:r>
              <w:rPr>
                <w:color w:val="000000"/>
              </w:rPr>
              <w:t xml:space="preserve"> </w:t>
            </w:r>
            <w:r>
              <w:rPr>
                <w:rFonts w:ascii="Arial;sans-serif" w:hAnsi="Arial;sans-serif"/>
                <w:b w:val="false"/>
                <w:color w:val="000000"/>
                <w:sz w:val="18"/>
              </w:rPr>
              <w:t>- A bankruptcy remote entity created for the special purpose of purchasing trade accounts receivable from Calpine Energy Solutions, LLC under the Accounts Receivable Sales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Equity capitalization is insufficient to support its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the power to direct activities nor affect its financial performance</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6"/>
          <w:shd w:fill="FFFFFF" w:val="clear"/>
        </w:rPr>
        <w:t>(a)</w:t>
      </w:r>
      <w:r>
        <w:rPr>
          <w:rFonts w:ascii="Arial;sans-serif" w:hAnsi="Arial;sans-serif"/>
          <w:b w:val="false"/>
          <w:color w:val="000000"/>
          <w:sz w:val="16"/>
        </w:rPr>
        <w:t>Calpine Receivables, LLC became an unconsolidated VIE in January 2026 as a result of the Calpine acquisition. As such, it was not an unconsolidated VIE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18. Supplemental Financial Information</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Supplemental Consolidated Statements of Operations and Comprehensive Income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provide additional information about items recorded in the Consolidated Statements of Operations and Comprehensive Income.</w:t>
      </w:r>
    </w:p>
    <w:tbl>
      <w:tblPr>
        <w:tblW w:w="6195" w:type="dxa"/>
        <w:jc w:val="left"/>
        <w:tblInd w:w="0" w:type="dxa"/>
        <w:tblLayout w:type="fixed"/>
        <w:tblCellMar>
          <w:top w:w="28" w:type="dxa"/>
          <w:left w:w="28" w:type="dxa"/>
          <w:bottom w:w="28" w:type="dxa"/>
          <w:right w:w="28" w:type="dxa"/>
        </w:tblCellMar>
      </w:tblPr>
      <w:tblGrid>
        <w:gridCol w:w="706"/>
        <w:gridCol w:w="620"/>
        <w:gridCol w:w="623"/>
        <w:gridCol w:w="247"/>
        <w:gridCol w:w="423"/>
        <w:gridCol w:w="127"/>
        <w:gridCol w:w="127"/>
        <w:gridCol w:w="127"/>
        <w:gridCol w:w="127"/>
        <w:gridCol w:w="247"/>
        <w:gridCol w:w="423"/>
        <w:gridCol w:w="127"/>
        <w:gridCol w:w="109"/>
        <w:gridCol w:w="109"/>
        <w:gridCol w:w="109"/>
        <w:gridCol w:w="211"/>
        <w:gridCol w:w="466"/>
        <w:gridCol w:w="109"/>
        <w:gridCol w:w="109"/>
        <w:gridCol w:w="109"/>
        <w:gridCol w:w="109"/>
        <w:gridCol w:w="211"/>
        <w:gridCol w:w="46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Operating revenues</w:t>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Variable lease income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33" w:type="dxa"/>
        <w:jc w:val="center"/>
        <w:tblInd w:w="0" w:type="dxa"/>
        <w:tblLayout w:type="fixed"/>
        <w:tblCellMar>
          <w:top w:w="28" w:type="dxa"/>
          <w:left w:w="28" w:type="dxa"/>
          <w:bottom w:w="28" w:type="dxa"/>
          <w:right w:w="28" w:type="dxa"/>
        </w:tblCellMar>
      </w:tblPr>
      <w:tblGrid>
        <w:gridCol w:w="754"/>
        <w:gridCol w:w="662"/>
        <w:gridCol w:w="669"/>
        <w:gridCol w:w="220"/>
        <w:gridCol w:w="486"/>
        <w:gridCol w:w="113"/>
        <w:gridCol w:w="113"/>
        <w:gridCol w:w="113"/>
        <w:gridCol w:w="113"/>
        <w:gridCol w:w="220"/>
        <w:gridCol w:w="486"/>
        <w:gridCol w:w="113"/>
        <w:gridCol w:w="109"/>
        <w:gridCol w:w="109"/>
        <w:gridCol w:w="109"/>
        <w:gridCol w:w="211"/>
        <w:gridCol w:w="466"/>
        <w:gridCol w:w="109"/>
        <w:gridCol w:w="109"/>
        <w:gridCol w:w="109"/>
        <w:gridCol w:w="109"/>
        <w:gridCol w:w="211"/>
        <w:gridCol w:w="46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Taxes other than income taxes</w:t>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Payroll</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Gross receipts</w:t>
            </w:r>
            <w:r>
              <w:rPr>
                <w:rFonts w:ascii="Arial;sans-serif" w:hAnsi="Arial;sans-serif"/>
                <w:b w:val="false"/>
                <w:color w:val="000000"/>
                <w:sz w:val="12"/>
              </w:rPr>
              <w:t>(a)</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(a)Represent gross receipts taxes related to our retail operations. The offsetting collection of gross receipts taxes from customers is recorded in Operating revenues in the Consolidated Statements of Operations and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08025"/>
                <wp:effectExtent l="0" t="0" r="0" b="0"/>
                <wp:wrapNone/>
                <wp:docPr id="53" name="Frame53"/>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18 — Supplemental Financial Information</w:t>
      </w:r>
    </w:p>
    <w:p>
      <w:pPr>
        <w:pStyle w:val="TextBody"/>
        <w:bidi w:val="0"/>
        <w:spacing w:before="0" w:after="0"/>
        <w:jc w:val="both"/>
        <w:rPr/>
      </w:pPr>
      <w:r>
        <w:rPr/>
      </w:r>
    </w:p>
    <w:tbl>
      <w:tblPr>
        <w:tblW w:w="8867" w:type="dxa"/>
        <w:jc w:val="left"/>
        <w:tblInd w:w="0" w:type="dxa"/>
        <w:tblLayout w:type="fixed"/>
        <w:tblCellMar>
          <w:top w:w="28" w:type="dxa"/>
          <w:left w:w="28" w:type="dxa"/>
          <w:bottom w:w="28" w:type="dxa"/>
          <w:right w:w="28" w:type="dxa"/>
        </w:tblCellMar>
      </w:tblPr>
      <w:tblGrid>
        <w:gridCol w:w="1669"/>
        <w:gridCol w:w="1466"/>
        <w:gridCol w:w="1484"/>
        <w:gridCol w:w="220"/>
        <w:gridCol w:w="486"/>
        <w:gridCol w:w="113"/>
        <w:gridCol w:w="113"/>
        <w:gridCol w:w="113"/>
        <w:gridCol w:w="113"/>
        <w:gridCol w:w="220"/>
        <w:gridCol w:w="486"/>
        <w:gridCol w:w="113"/>
        <w:gridCol w:w="109"/>
        <w:gridCol w:w="109"/>
        <w:gridCol w:w="109"/>
        <w:gridCol w:w="211"/>
        <w:gridCol w:w="466"/>
        <w:gridCol w:w="109"/>
        <w:gridCol w:w="109"/>
        <w:gridCol w:w="109"/>
        <w:gridCol w:w="109"/>
        <w:gridCol w:w="211"/>
        <w:gridCol w:w="46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Other, net</w:t>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Decommissioning-related activities:</w:t>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realized income on NDT funds</w:t>
            </w:r>
            <w:r>
              <w:rPr>
                <w:rFonts w:ascii="Arial;sans-serif" w:hAnsi="Arial;sans-serif"/>
                <w:b w:val="false"/>
                <w:color w:val="000000"/>
                <w:sz w:val="12"/>
              </w:rPr>
              <w:t>(a)</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Agreement Units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Non-Regulatory Agreement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unrealized gains (losses) on NDT funds</w:t>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Regulatory Agreement Units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Non-Regulatory Agreement Units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Regulatory offset to NDT fund-related activities</w:t>
            </w:r>
            <w:r>
              <w:rPr>
                <w:rFonts w:ascii="Arial;sans-serif" w:hAnsi="Arial;sans-serif"/>
                <w:b w:val="false"/>
                <w:color w:val="000000"/>
                <w:sz w:val="12"/>
              </w:rPr>
              <w:t>(b)</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Decommissioning-related activities</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unrealized gains (losses) from equity investments</w:t>
            </w:r>
            <w:r>
              <w:rPr>
                <w:rFonts w:ascii="Arial;sans-serif" w:hAnsi="Arial;sans-serif"/>
                <w:b w:val="false"/>
                <w:color w:val="000000"/>
                <w:sz w:val="12"/>
              </w:rPr>
              <w:t>(c)</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(a)Realized income includes interest, dividends and realized gains and losses on sales of NDT fund investments.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the elimination of decommissioning-related activities and the elimination of income taxes related to all NDT fund activity for the Regulatory Agreement Units.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(c)Includes unrealized gains (losses) resulting from an equity investment in a publicly traded company. We record the fair value of this investment in Other deferred debits and other assets in the Consolidated Balance Sheets based on quoted market price of the stock.</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Supplemental Cash Flow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provide additional information about items recorded within our Consolidated Statements of Cash Flows.</w:t>
      </w:r>
    </w:p>
    <w:tbl>
      <w:tblPr>
        <w:tblW w:w="10205" w:type="dxa"/>
        <w:jc w:val="left"/>
        <w:tblInd w:w="0" w:type="dxa"/>
        <w:tblLayout w:type="fixed"/>
        <w:tblCellMar>
          <w:top w:w="28" w:type="dxa"/>
          <w:left w:w="28" w:type="dxa"/>
          <w:bottom w:w="28" w:type="dxa"/>
          <w:right w:w="28" w:type="dxa"/>
        </w:tblCellMar>
      </w:tblPr>
      <w:tblGrid>
        <w:gridCol w:w="1143"/>
        <w:gridCol w:w="965"/>
        <w:gridCol w:w="968"/>
        <w:gridCol w:w="1581"/>
        <w:gridCol w:w="1493"/>
        <w:gridCol w:w="1480"/>
        <w:gridCol w:w="109"/>
        <w:gridCol w:w="109"/>
        <w:gridCol w:w="109"/>
        <w:gridCol w:w="211"/>
        <w:gridCol w:w="616"/>
        <w:gridCol w:w="109"/>
        <w:gridCol w:w="109"/>
        <w:gridCol w:w="109"/>
        <w:gridCol w:w="109"/>
        <w:gridCol w:w="211"/>
        <w:gridCol w:w="616"/>
        <w:gridCol w:w="158"/>
      </w:tblGrid>
      <w:tr>
        <w:trPr/>
        <w:tc>
          <w:tcPr>
            <w:tcW w:w="114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Depreciation, amortization, and accretion</w:t>
            </w:r>
          </w:p>
        </w:tc>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PP&amp;E</w:t>
            </w:r>
          </w:p>
        </w:tc>
        <w:tc>
          <w:tcPr>
            <w:tcW w:w="4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Nuclear fuel</w:t>
            </w:r>
          </w:p>
        </w:tc>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Purchased power and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acquired derivative contracts</w:t>
            </w:r>
            <w:r>
              <w:rPr>
                <w:rFonts w:ascii="Arial;sans-serif" w:hAnsi="Arial;sans-serif"/>
                <w:b w:val="false"/>
                <w:color w:val="000000"/>
                <w:sz w:val="12"/>
              </w:rPr>
              <w:t>(a)</w:t>
            </w:r>
          </w:p>
        </w:tc>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revenues or purchased power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ARO accretion</w:t>
            </w:r>
          </w:p>
        </w:tc>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UECs</w:t>
            </w:r>
          </w:p>
        </w:tc>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revenues or purchased power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intangible assets, net</w:t>
            </w:r>
            <w:r>
              <w:rPr>
                <w:rFonts w:ascii="Arial;sans-serif" w:hAnsi="Arial;sans-serif"/>
                <w:b w:val="false"/>
                <w:color w:val="000000"/>
                <w:sz w:val="12"/>
              </w:rPr>
              <w:t>(b)</w:t>
            </w:r>
          </w:p>
        </w:tc>
        <w:tc>
          <w:tcPr>
            <w:tcW w:w="4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amortization</w:t>
            </w:r>
          </w:p>
        </w:tc>
        <w:tc>
          <w:tcPr>
            <w:tcW w:w="4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revenues, purchased power and fuel, or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(a)Related to the amortization of acquired derivative contracts from the acquisition of Calpine.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(b)Primarily related to the amortization of customer relationships and trade names.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08025"/>
                <wp:effectExtent l="0" t="0" r="0" b="0"/>
                <wp:wrapNone/>
                <wp:docPr id="54" name="Frame54"/>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18 — Supplemental Financial Information</w:t>
      </w:r>
    </w:p>
    <w:tbl>
      <w:tblPr>
        <w:tblW w:w="8985" w:type="dxa"/>
        <w:jc w:val="center"/>
        <w:tblInd w:w="0" w:type="dxa"/>
        <w:tblLayout w:type="fixed"/>
        <w:tblCellMar>
          <w:top w:w="28" w:type="dxa"/>
          <w:left w:w="28" w:type="dxa"/>
          <w:bottom w:w="28" w:type="dxa"/>
          <w:right w:w="28" w:type="dxa"/>
        </w:tblCellMar>
      </w:tblPr>
      <w:tblGrid>
        <w:gridCol w:w="1634"/>
        <w:gridCol w:w="1434"/>
        <w:gridCol w:w="1447"/>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CEG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Constellation</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Other non-cash operating activities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 decommissioning-related activity</w:t>
            </w:r>
            <w:r>
              <w:rPr>
                <w:rFonts w:ascii="Arial;sans-serif" w:hAnsi="Arial;sans-serif"/>
                <w:b w:val="false"/>
                <w:color w:val="000000"/>
                <w:sz w:val="12"/>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and non-pension postretirement benefit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the elimination of decommissioning-related activities for the Regulatory Agreement Units, including the elimination of operating revenues, ARO accretion, ARC amortization, investment income, and income taxes related to all NDT fund activity for these units.</w:t>
      </w:r>
    </w:p>
    <w:p>
      <w:pPr>
        <w:pStyle w:val="TextBody"/>
        <w:bidi w:val="0"/>
        <w:spacing w:before="0" w:after="0"/>
        <w:jc w:val="both"/>
        <w:rPr/>
      </w:pPr>
      <w:r>
        <w:rPr/>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a reconciliation of cash, restricted cash, and cash equivalents reported within our Consolidated Balance Sheets that sum to the total of the same amounts in the Consolidated Statements of Cash Flows.</w:t>
      </w:r>
    </w:p>
    <w:tbl>
      <w:tblPr>
        <w:tblW w:w="6318" w:type="dxa"/>
        <w:jc w:val="center"/>
        <w:tblInd w:w="0" w:type="dxa"/>
        <w:tblLayout w:type="fixed"/>
        <w:tblCellMar>
          <w:top w:w="28" w:type="dxa"/>
          <w:left w:w="28" w:type="dxa"/>
          <w:bottom w:w="28" w:type="dxa"/>
          <w:right w:w="28" w:type="dxa"/>
        </w:tblCellMar>
      </w:tblPr>
      <w:tblGrid>
        <w:gridCol w:w="1464"/>
        <w:gridCol w:w="1292"/>
        <w:gridCol w:w="1308"/>
        <w:gridCol w:w="211"/>
        <w:gridCol w:w="616"/>
        <w:gridCol w:w="109"/>
        <w:gridCol w:w="109"/>
        <w:gridCol w:w="109"/>
        <w:gridCol w:w="109"/>
        <w:gridCol w:w="213"/>
        <w:gridCol w:w="622"/>
        <w:gridCol w:w="156"/>
      </w:tblGrid>
      <w:tr>
        <w:trPr/>
        <w:tc>
          <w:tcPr>
            <w:tcW w:w="146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June 30, 2026</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CEG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Constellation</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cash, restricted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December 31,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cash, restricted 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June 30, 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 and cash equivalents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cash, restricted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Arial;sans-serif" w:hAnsi="Arial;sans-serif"/>
          <w:b w:val="false"/>
          <w:color w:val="000000"/>
          <w:sz w:val="18"/>
        </w:rPr>
      </w:pPr>
      <w:r>
        <w:rPr>
          <w:rFonts w:ascii="Arial;sans-serif" w:hAnsi="Arial;sans-serif"/>
          <w:b w:val="false"/>
          <w:color w:val="000000"/>
          <w:sz w:val="18"/>
        </w:rPr>
        <w:t>For additional information on restricted cash, see Note 1 — Basis of Presentation of our 2025 Form 10-K. Calpine's restricted cash balances, included in our balances as of June 30, 2026, align with our current policy or represent other agreements that require us to establish and maintain segregated cash accounts, the use of which is restricted, making these cash funds unavailable for general 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08025"/>
                <wp:effectExtent l="0" t="0" r="0" b="0"/>
                <wp:wrapNone/>
                <wp:docPr id="55" name="Frame55"/>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Combined Notes to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(Dollars in millions, unless otherwise noted)</w:t>
      </w:r>
    </w:p>
    <w:p>
      <w:pPr>
        <w:pStyle w:val="TextBody"/>
        <w:bidi w:val="0"/>
        <w:spacing w:before="0" w:after="0"/>
        <w:jc w:val="right"/>
        <w:rPr/>
      </w:pPr>
      <w:r>
        <w:rPr/>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Note 18 — Supplemental Financial Information</w:t>
      </w:r>
    </w:p>
    <w:p>
      <w:pPr>
        <w:pStyle w:val="TextBody"/>
        <w:bidi w:val="0"/>
        <w:spacing w:lineRule="auto" w:line="288" w:before="180" w:after="180"/>
        <w:jc w:val="both"/>
        <w:rPr>
          <w:rFonts w:ascii="Arial;sans-serif" w:hAnsi="Arial;sans-serif"/>
          <w:b/>
          <w:color w:val="000000"/>
          <w:sz w:val="18"/>
        </w:rPr>
      </w:pPr>
      <w:r>
        <w:rPr>
          <w:rFonts w:ascii="Arial;sans-serif" w:hAnsi="Arial;sans-serif"/>
          <w:b/>
          <w:color w:val="000000"/>
          <w:sz w:val="18"/>
        </w:rPr>
        <w:t>Supplemental Balance Sheet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tables provides additional information about material items recorded in the Consolidated Balance Sheets.</w:t>
      </w:r>
    </w:p>
    <w:tbl>
      <w:tblPr>
        <w:tblW w:w="6207" w:type="dxa"/>
        <w:jc w:val="left"/>
        <w:tblInd w:w="0" w:type="dxa"/>
        <w:tblLayout w:type="fixed"/>
        <w:tblCellMar>
          <w:top w:w="28" w:type="dxa"/>
          <w:left w:w="28" w:type="dxa"/>
          <w:bottom w:w="28" w:type="dxa"/>
          <w:right w:w="28" w:type="dxa"/>
        </w:tblCellMar>
      </w:tblPr>
      <w:tblGrid>
        <w:gridCol w:w="1271"/>
        <w:gridCol w:w="1119"/>
        <w:gridCol w:w="1120"/>
        <w:gridCol w:w="223"/>
        <w:gridCol w:w="652"/>
        <w:gridCol w:w="115"/>
        <w:gridCol w:w="109"/>
        <w:gridCol w:w="109"/>
        <w:gridCol w:w="109"/>
        <w:gridCol w:w="297"/>
        <w:gridCol w:w="867"/>
        <w:gridCol w:w="216"/>
      </w:tblGrid>
      <w:tr>
        <w:trPr/>
        <w:tc>
          <w:tcPr>
            <w:tcW w:w="127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Inventories, net</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Natural gas, oil, and emission allowances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1,736 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510" w:type="dxa"/>
        <w:jc w:val="left"/>
        <w:tblInd w:w="0" w:type="dxa"/>
        <w:tblLayout w:type="fixed"/>
        <w:tblCellMar>
          <w:top w:w="28" w:type="dxa"/>
          <w:left w:w="28" w:type="dxa"/>
          <w:bottom w:w="28" w:type="dxa"/>
          <w:right w:w="28" w:type="dxa"/>
        </w:tblCellMar>
      </w:tblPr>
      <w:tblGrid>
        <w:gridCol w:w="1026"/>
        <w:gridCol w:w="900"/>
        <w:gridCol w:w="908"/>
        <w:gridCol w:w="223"/>
        <w:gridCol w:w="652"/>
        <w:gridCol w:w="115"/>
        <w:gridCol w:w="109"/>
        <w:gridCol w:w="109"/>
        <w:gridCol w:w="109"/>
        <w:gridCol w:w="301"/>
        <w:gridCol w:w="879"/>
        <w:gridCol w:w="155"/>
        <w:gridCol w:w="109"/>
        <w:gridCol w:w="109"/>
        <w:gridCol w:w="109"/>
        <w:gridCol w:w="223"/>
        <w:gridCol w:w="652"/>
        <w:gridCol w:w="115"/>
        <w:gridCol w:w="109"/>
        <w:gridCol w:w="109"/>
        <w:gridCol w:w="109"/>
        <w:gridCol w:w="297"/>
        <w:gridCol w:w="867"/>
        <w:gridCol w:w="216"/>
      </w:tblGrid>
      <w:tr>
        <w:trPr/>
        <w:tc>
          <w:tcPr>
            <w:tcW w:w="102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CEG 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Constellation</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Accounts payable and accrued expenses</w:t>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Compensation-related accruals</w:t>
            </w:r>
            <w:r>
              <w:rPr>
                <w:rFonts w:ascii="Arial;sans-serif" w:hAnsi="Arial;sans-serif"/>
                <w:b w:val="false"/>
                <w:color w:val="000000"/>
                <w:sz w:val="12"/>
              </w:rPr>
              <w:t>(a)</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Taxes accrued</w:t>
            </w:r>
            <w:r>
              <w:rPr>
                <w:rFonts w:ascii="Arial;sans-serif" w:hAnsi="Arial;sans-serif"/>
                <w:b w:val="false"/>
                <w:color w:val="000000"/>
                <w:sz w:val="12"/>
              </w:rPr>
              <w:t>(b)</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accrued expenses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(a)Primarily includes accrued payroll, bonuses and other incentives, vacation, and benefits.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$375 million as of December 31, 2025, related to nuclear PTC that was used to offset the current tax liability. No credits were utilized during the six months ended June 30, 2026. See Note 6 — Government Assistance for additional information on the nuclear PTC.</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additional information about investments included in Other deferred debits and other assets in the Consolidated Balance Sheets.</w:t>
      </w:r>
    </w:p>
    <w:tbl>
      <w:tblPr>
        <w:tblW w:w="7585" w:type="dxa"/>
        <w:jc w:val="center"/>
        <w:tblInd w:w="0" w:type="dxa"/>
        <w:tblLayout w:type="fixed"/>
        <w:tblCellMar>
          <w:top w:w="28" w:type="dxa"/>
          <w:left w:w="28" w:type="dxa"/>
          <w:bottom w:w="28" w:type="dxa"/>
          <w:right w:w="28" w:type="dxa"/>
        </w:tblCellMar>
      </w:tblPr>
      <w:tblGrid>
        <w:gridCol w:w="1767"/>
        <w:gridCol w:w="1556"/>
        <w:gridCol w:w="1566"/>
        <w:gridCol w:w="266"/>
        <w:gridCol w:w="587"/>
        <w:gridCol w:w="137"/>
        <w:gridCol w:w="109"/>
        <w:gridCol w:w="109"/>
        <w:gridCol w:w="109"/>
        <w:gridCol w:w="350"/>
        <w:gridCol w:w="774"/>
        <w:gridCol w:w="255"/>
      </w:tblGrid>
      <w:tr>
        <w:trPr/>
        <w:tc>
          <w:tcPr>
            <w:tcW w:w="176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Investments</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Employee benefit trusts and investments</w:t>
            </w:r>
            <w:r>
              <w:rPr>
                <w:rFonts w:ascii="Arial;sans-serif" w:hAnsi="Arial;sans-serif"/>
                <w:b w:val="false"/>
                <w:color w:val="000000"/>
                <w:sz w:val="12"/>
              </w:rPr>
              <w:t>(a)</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Equity investments with readily determinable fair values</w:t>
            </w:r>
            <w:r>
              <w:rPr>
                <w:rFonts w:ascii="Arial;sans-serif" w:hAnsi="Arial;sans-serif"/>
                <w:b w:val="false"/>
                <w:color w:val="000000"/>
                <w:sz w:val="12"/>
              </w:rPr>
              <w:t>(b)</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investments without readily determinable fair values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available for sale debt security investments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(a)Debt and equity security investments are recorded at fair market value.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(b)Does not include the equity investments with readily determinable fair values that are recorded in Other current assets in the Consolidated Balance Sheets. See Note 14 — Fair Value of Financial Assets and Liabilities for additional information on investments in equities.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110" w:type="dxa"/>
        <w:jc w:val="left"/>
        <w:tblInd w:w="0" w:type="dxa"/>
        <w:tblLayout w:type="fixed"/>
        <w:tblCellMar>
          <w:top w:w="28" w:type="dxa"/>
          <w:left w:w="28" w:type="dxa"/>
          <w:bottom w:w="28" w:type="dxa"/>
          <w:right w:w="28" w:type="dxa"/>
        </w:tblCellMar>
      </w:tblPr>
      <w:tblGrid>
        <w:gridCol w:w="250"/>
        <w:gridCol w:w="219"/>
        <w:gridCol w:w="221"/>
        <w:gridCol w:w="2758"/>
        <w:gridCol w:w="2758"/>
        <w:gridCol w:w="390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9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MANAGEMENT’S DISCUSSION AND ANALYSIS OF FINANCIAL CONDITION AND RESULTS OF OPERATIONS</w:t>
            </w:r>
          </w:p>
        </w:tc>
      </w:tr>
    </w:tbl>
    <w:p>
      <w:pPr>
        <w:pStyle w:val="TextBody"/>
        <w:bidi w:val="0"/>
        <w:spacing w:lineRule="auto" w:line="288" w:before="180" w:after="80"/>
        <w:jc w:val="center"/>
        <w:rPr>
          <w:rFonts w:ascii="Arial;sans-serif" w:hAnsi="Arial;sans-serif"/>
          <w:b w:val="false"/>
          <w:color w:val="000000"/>
          <w:sz w:val="18"/>
        </w:rPr>
      </w:pPr>
      <w:r>
        <w:rPr>
          <w:rFonts w:ascii="Arial;sans-serif" w:hAnsi="Arial;sans-serif"/>
          <w:b w:val="false"/>
          <w:color w:val="000000"/>
          <w:sz w:val="18"/>
        </w:rPr>
        <w:t>(Dollars in millions except per share data,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Executive Overview</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Constellation Energy Corporation, a Fortune 200 company headquartered in Baltimore, is the largest private-sector power producer in the world and the nation’s largest producer of clean and reliable energy. With 55 gigawatts of capacity from nuclear, natural gas, oil,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80% of the Fortune 100. We are committed to investing in innovation and new technologies to drive the transition to a reliable, sustainable and secure energy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08025"/>
                <wp:effectExtent l="0" t="0" r="0" b="0"/>
                <wp:wrapNone/>
                <wp:docPr id="56" name="Frame56"/>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Significant Transactions and Developments</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Acquisition of Calpine Corporation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On January 7, 2026, we acquired 100% of the outstanding equity of Calpine for a purchase price of approximately $21.8 billion. The merger consideration consisted of 50 million newly issued shares of our common stock, no par value, and approximately $4.5 billion in cash on hand. After considering divestitures connected with certain regulatory approvals, Calpine owns and operates a generation fleet of predominantly natural gas, geothermal, battery storage, and solar assets with approximately 23 GWs of generation capacity, in addition to a competitive retail electric supplier platform serving approximately 62 TWhs of load annually.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This acquisition is complementary to, and aligns strategically with, our existing business operations and provides both increased scale and meaningful market diversification. The merger couples the largest producer of clean, emissions-free energy with the reliable, dispatchable natural gas assets of Calpine, and also creates the nation’s leading competitive retail electric supplier, providing increased scale, diversification and complementary capabilities that enable us to meet growing demand with a broader array of energy and sustainability products. The addition of Calpine strengthens our essential role in providing clean, reliable energy as the nation seeks to transition to a more sustainable future, and will better position us to pursue investments in new and existing technologies to meet growing demand.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March 2026, we entered into an agreement with LS Power Equity Advisors, LLC to sell five natural gas-fired generating facilities with approximately 4.4 GWs of capacity from Calpine's portfolio of generation assets located in PJM to satisfy regulatory commitments related to our acquisition of Calpine. The transaction is valued at $5.0 billion before closing adjustments. In August 2026, we entered into an agreement with LS Power to divest the Brazos Valley Energy Center (f/k/a Jack A. Fusco Energy Center), a 606 MW natural gas-fired plant in ERCOT for $860 million before closing adjustments. Completion of these transactions is subject to customary closing conditions and receipt of applicable regulatory approvals, and is expected to satisfy the remaining regulatory commitments related to the merger. We expect the transactions to close by the end of this year.</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See Note 2 — Mergers, Acquisitions, and Dispositions and Note 13 — Debt and Credit Agreements of the Combined Notes to Consolidated Financial Statements for additional information.</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New Data Center Facility at Freestone Energy Center</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the first quarter of 2026, we signed a new 380 MW agreement with Dallas-based CyrusOne, a leading global data center developer and operator, to connect and serve a new data center adjacent to the Freestone Energy Center, in Freestone County, Texas. The agreement provides CyrusOne with access to power, grid connectivity and site infrastructure needed to support development of the new facility, while ensuring electricity continues to flow to the regional grid and ensuring reliability for all customers and communities. We have also entered into an exclusive agreement to provide power, grid connectivity and site infrastructure for Phase 2, which will be an additional 380 MWs. These agreements are in addition to the 400 MW agreements announced in the second half of last year between Calpine and CyrusOne for the Thad Hill Energy Center in Bosque County, Texas.</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 xml:space="preserve">Pastoria Solar Project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April 2026, we celebrated the commissioning of the 105 MW Pastoria Solar Project, the largest renewable energy project contracted by the California Department of Water Resources to date in its mission to fully decarbonize its operations by 2035. The Pastoria Solar Project connects to the grid through the interconnection facilities at our highly efficient 750 MW natural gas-fired Pastoria facility. Also, co-located with the Pastoria Solar Project is the Pastoria Power Bank, a 80 MW/320 MWh Battery Energy Storage System, which came online in July 2026. The Pastoria Power Bank is contracted and supported by a 15-year power purchase agreement with Pacific Gas and Electric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08025"/>
                <wp:effectExtent l="0" t="0" r="0" b="0"/>
                <wp:wrapNone/>
                <wp:docPr id="57" name="Frame57"/>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 xml:space="preserve">Pin Oak Creek Energy Center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In April 2026, our Pin Oak Creek Energy Center achieved commercial operation. Pin Oak Creek is a 460 MW, state-of-the-art natural gas facility designed to provide reliable, dispatchable power to the ERCOT grid. As a peaking facility, it is built to operate when demand is highest and reliability matters most, while also maintaining the flexibility to run longer if system conditions require it. The project is a direct response to Texas’ continued growth and increasing electricity demand across homes, businesses, and industry. Pin Oak Creek will play a critical role in strengthening grid reliability and supporting the state’s economic momentum. </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Long-term Nuclear PPAs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have signed an additional 920 MW of long-term PPAs for clean, reliable nuclear generation with a diverse set of investment grade customers to help them meet their evolving energy needs. These agreements are for 15-20 years in duration and are set to begin in 2029 through 2032. Among these PPAs, our 176 MW agreement with Walmart will enable a 30 MW capacity expansion at our Dresden Clean Energy Center in Illinois and facilitate additional investments to strengthen the local community by supporting jobs and enabling continued expansion of operations and workforce.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 xml:space="preserve">Other Key Business Drivers </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PJM Market Reform</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January 2026, the National Energy Dominance Council, with support from Governors within the PJM territory, urged PJM to file proposed tariff revisions at FERC to improve reliability and cost-effectiveness within its capacity auctions. During the first quarter of 2026, PJM began stakeholder discussions and preparatory work in response to this directive, including evaluation of a potential reliability backstop mechanism, enhancements to large load forecasting methodologies, and actions to accelerate generator interconnection studies. In February 2026, PJM filed tariff revisions proposing to extend the existing RPM capacity market price collar—consisting of a price cap of approximately $325/MW</w:t>
        <w:noBreakHyphen/>
        <w:t>day and a price floor of approximately $175/MW</w:t>
        <w:noBreakHyphen/>
        <w:t xml:space="preserve">day—for the 2028/2029 and 2029/2030 Base Residual Auctions. In an order issued by FERC in April 2026, FERC accepted PJM’s tariff revisions, allowing the continued application of the price collar for the specified delivery years. FERC found the filing sufficiently justified to proceed, citing ongoing reliability concerns and extraordinary demand growth, including data center load expansion, and anticipated market reforms. In July 2026, PJM released the results of the 2028/2029 Base Residual Auction and the entire RTO, including all submitted CEG units, cleared at the price cap of $325/MW-day </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FERC Issues Order in PJM Show Cause Proceeding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December 2025, FERC issued an order finding the existing PJM Tariff to be unjust and unreasonable and directing PJM to take a number of actions. FERC ordered three new transmission services: an interim interruptible network integration transmission service (IT NITS), which will allow load to take service on an interruptible basis while waiting for the network upgrades required for traditional NITS, and two other services. The IT NITS service allows the load to elect to connect promptly and receive some service from the grid, while avoiding PJM purchases of capacity to serve it, as it will be interruptible. The other services include a firm and non-firm contract demand service for co-located load. FERC also directed several PJM compliance filings and a paper hearing.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In June 2026, FERC ruled on a number of issues presented in the co-location paper hearing and on several PJM compliance filings implementing directives from the December 2025 order. Importantly, FERC pressed PJM to implement changes to accommodate co-located load prior to PJM’s proposed June 2029 effective date.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FERC also issued a series of orders in the various RTOs in response to the Advance Notice of Proposed Rulemaking (ANOPR) published by DOE last fall. The orders direct filings by RTOs and their transmission owners that are designed to expedite service to large load (regardless of whether it is co-located) and avoid the expense and delay associated with network upgrades to provide service to these loads. Constellation’s Load Dependent Capacity at Existing Plants (LCEP) proposal, which would expedite connection of new generation when paired with a large load at an existing plant, was flagged in several RTO orders as a proposal to be considered.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8025"/>
                <wp:effectExtent l="0" t="0" r="0" b="0"/>
                <wp:wrapNone/>
                <wp:docPr id="58" name="Frame58"/>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Russia and Ukraine Conflict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are closely monitoring developments of the ongoing Russia and Ukraine conflict, including United States, United Kingdom, European Union, and Canadian sanctions, and legislation that may impact exports and imports of Russian nuclear fuel supply and enrichment activities, as well as the potential for Russia to limit fuel deliveries. The U.S. “Prohibiting Russian Uranium Imports Act” became effective in August 2024, banning the import of low-enriched uranium into the U.S. that is produced in Russia or by Russian entities, absent a waiver from the DOE. Under a corollary bill, the Department of Energy has begun the process of distributing billions of dollars to support expansion of the domestic nuclear fuel cycle within the United States to improve emissions-free energy security. In November 2024, the Russian government issued a decree imposing temporary restrictions on the export of enriched uranium from Russia to the U.S. but allowing for a special Russian export license to be issued for individual shipments. Our nuclear fuel is obtained predominantly through long-term uranium supply and service contracts. We work with a diverse set of domestic and international suppliers years in advance to procure our nuclear fuel to support our refueling needs and mitigate the risk of exposure to Russian nuclear fuel supply. Recognizing the potential for the continuing conflict to impact our longer-term security and cost of supply, we have entered into contracts to increase the size of our nuclear fuel inventory. Our fuel procurement activities comply with all U.S. and international trade laws and we continue to take advantage of all available avenues to maintain continuity in our nuclear fuel supply, including working with the U.S. Government and our diverse set of suppliers to secure the nuclear fuel needed to continue to operate our nuclear fleet long-term.</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Environmental Regulation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California Assembly Bill 32, as amended by Senate Bill 32 in 2016, directed the California Air Resources Board (CARB) to adopt regulations to achieve the maximum technologically feasible and cost-effective reductions in GHG emissions, targeting statewide GHG emissions at 1990 levels by 2020 and to at least 40% below 1990 levels by 2030. The California Climate Crisis Act was enacted in 2022 and further establishes the state's policy to achieve net zero GHG emissions as soon as possible, but no later than 2045, and to reduce statewide anthropogenic GHG emissions to 85% below 1990 levels by 2045. To achieve these targets, CARB has promulgated complementary regulatory measures, including the Cap-and-Trade Program and Mandatory Greenhouse Gas Emissions Reporting Regulation. Covered entities, such as our power plants, must surrender compliance instruments, which include both allowances and offset credits, in an amount equivalent to their GHG emissions. Assembly Bill 398, enacted in 2017, authorized the extension of the Cap-and-Trade Program through 2030 and required several changes to the program, including establishing a price ceiling and other price mitigative mechanisms and limiting the amount of offsets allowed to comply with the regulation. In September 2025, California Governor Gavin Newsom signed AB 1207 and SB 840 into law, extending the state’s Cap-and-Trade Program through January 1, 2046, and renaming it the “Cap and Invest" Program.</w:t>
      </w:r>
    </w:p>
    <w:p>
      <w:pPr>
        <w:pStyle w:val="TextBody"/>
        <w:bidi w:val="0"/>
        <w:spacing w:lineRule="auto" w:line="288" w:before="180" w:after="180"/>
        <w:jc w:val="both"/>
        <w:rPr/>
      </w:pPr>
      <w:r>
        <w:rPr>
          <w:rFonts w:ascii="Arial;sans-serif" w:hAnsi="Arial;sans-serif"/>
          <w:b w:val="false"/>
          <w:color w:val="000000"/>
          <w:sz w:val="18"/>
        </w:rPr>
        <w:t>In September 2021, Illinois Governor JB Pritzker signed into law the Climate and Equitable Jobs Act, which, among other things, establishes a schedule for eliminating CO2 emissions by EGUs. Under that schedule, privately owned natural gas units that exceed an established level of NOx or SO</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emissions and are located within three miles of an environmental justice community, or an equity investment-eligible community must permanently eliminate CO2 and co-pollutant emissions by January 1, 2030, subject to certain reliability exceptions, such as a determination by PJM that the unit is needed for reliability. PJM made such a finding with respect to our natural gas generation facility Zion Energy Center, acquired as part of Calpine, and accordingly Zion plans to operate past January 2030.</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See ITEM 1. BUSINESS, Environmental Matters and Regulation of our 2025 Form 10-K for additional information on environmental legislation and regulation we are subject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Critical Accounting Policies and Estimates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Management makes a number of significant estimates, assumptions, and judgments in the preparation of our financial statements. At June 30, 2026, our critical accounting policies and estimates had not changed significantly from December 31, 2025. See ITEM 7. MANAGEMENT'S DISCUSSION AND ANALYSIS OF FINANCIAL CONDITION AND RESULTS OF OPERATIONS — Critical Accounting Policies and Estimates of our 2025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08025"/>
                <wp:effectExtent l="0" t="0" r="0" b="0"/>
                <wp:wrapNone/>
                <wp:docPr id="59" name="Frame59"/>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Financial Results of Operations</w:t>
      </w:r>
    </w:p>
    <w:p>
      <w:pPr>
        <w:pStyle w:val="TextBody"/>
        <w:bidi w:val="0"/>
        <w:spacing w:lineRule="auto" w:line="288" w:before="180" w:after="180"/>
        <w:jc w:val="both"/>
        <w:rPr/>
      </w:pPr>
      <w:r>
        <w:rPr>
          <w:rFonts w:ascii="Arial;sans-serif" w:hAnsi="Arial;sans-serif"/>
          <w:b/>
          <w:i/>
          <w:color w:val="000000"/>
          <w:sz w:val="18"/>
        </w:rPr>
        <w:t xml:space="preserve">GAAP Results of Operations. </w:t>
      </w:r>
      <w:r>
        <w:rPr>
          <w:rFonts w:ascii="Arial;sans-serif" w:hAnsi="Arial;sans-serif"/>
          <w:b w:val="false"/>
          <w:color w:val="000000"/>
          <w:sz w:val="18"/>
        </w:rPr>
        <w:t>The following table sets forth our consolidated GAAP Net Income (Loss) Attributable to Common Shareholders for the three and six months ended June 30, 2026 compared to the same period in 2025. For additional information regarding the financial results for the three and six months ended June 30, 2026 and 2025, see the discussions of Results of Operations below.</w:t>
      </w:r>
    </w:p>
    <w:tbl>
      <w:tblPr>
        <w:tblW w:w="10205" w:type="dxa"/>
        <w:jc w:val="left"/>
        <w:tblInd w:w="0" w:type="dxa"/>
        <w:tblLayout w:type="fixed"/>
        <w:tblCellMar>
          <w:top w:w="28" w:type="dxa"/>
          <w:left w:w="28" w:type="dxa"/>
          <w:bottom w:w="28" w:type="dxa"/>
          <w:right w:w="28" w:type="dxa"/>
        </w:tblCellMar>
      </w:tblPr>
      <w:tblGrid>
        <w:gridCol w:w="1238"/>
        <w:gridCol w:w="1088"/>
        <w:gridCol w:w="1091"/>
        <w:gridCol w:w="215"/>
        <w:gridCol w:w="476"/>
        <w:gridCol w:w="111"/>
        <w:gridCol w:w="111"/>
        <w:gridCol w:w="111"/>
        <w:gridCol w:w="111"/>
        <w:gridCol w:w="215"/>
        <w:gridCol w:w="476"/>
        <w:gridCol w:w="111"/>
        <w:gridCol w:w="109"/>
        <w:gridCol w:w="109"/>
        <w:gridCol w:w="109"/>
        <w:gridCol w:w="211"/>
        <w:gridCol w:w="513"/>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61"/>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GAAP Net Income (Loss) Attributable to Common Shareholders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Arial;sans-serif" w:hAnsi="Arial;sans-serif"/>
          <w:b/>
          <w:i/>
          <w:color w:val="000000"/>
          <w:sz w:val="18"/>
        </w:rPr>
        <w:t xml:space="preserve">Adjusted (non-GAAP) Operating Earnings. </w:t>
      </w:r>
      <w:r>
        <w:rPr>
          <w:rFonts w:ascii="Arial;sans-serif" w:hAnsi="Arial;sans-serif"/>
          <w:b w:val="false"/>
          <w:color w:val="000000"/>
          <w:sz w:val="18"/>
        </w:rPr>
        <w:t>We utilize Adjusted (non-GAAP) Operating Earnings (and/or its per share equivalent) in our internal analysis, and in communications with investors and analysts, as a consistent measure for comparing our financial performance and discussing the factors and trends affecting our business. The presentation of Adjusted (non-GAAP) Operating Earnings is intended to complement and should not be considered an alternative to, nor more useful than, the presentation of GAAP Net Income.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table below provides a reconciliation of GAAP Net Income to Adjusted (non-GAAP) Operating Earnings. Adjusted (non-GAAP) Operating Earnings is not a standardized financial measure and may not be comparable to other companies’ presentations of similarly titled measures.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Unless otherwise noted, the income tax impact of each reconciling adjustment between GAAP Net Income (Loss) Attributable to Common Shareholders and Adjusted (non-GAAP) Operating Earnings is based on the marginal statutory federal and state income tax rates, taking into account whether the income or expense item is taxable or deductible, respectively, in whole or in part, which may result in an effective tax rate that differs from the marginal rate. The marginal statutory income tax rate was 25.5% for the three and six months ended June 30, 2026 and 2025. The following table provides a reconciliation between GAAP Net Income (Loss) Attributable to Common Shareholders and Adjusted (non-GAAP) Operating Earnings for the three and six months ended June 30, 2026 compared to the same period in 2025.</w:t>
      </w:r>
    </w:p>
    <w:tbl>
      <w:tblPr>
        <w:tblW w:w="10205" w:type="dxa"/>
        <w:jc w:val="left"/>
        <w:tblInd w:w="0" w:type="dxa"/>
        <w:tblLayout w:type="fixed"/>
        <w:tblCellMar>
          <w:top w:w="28" w:type="dxa"/>
          <w:left w:w="28" w:type="dxa"/>
          <w:bottom w:w="28" w:type="dxa"/>
          <w:right w:w="28" w:type="dxa"/>
        </w:tblCellMar>
      </w:tblPr>
      <w:tblGrid>
        <w:gridCol w:w="2386"/>
        <w:gridCol w:w="1436"/>
        <w:gridCol w:w="1444"/>
        <w:gridCol w:w="211"/>
        <w:gridCol w:w="466"/>
        <w:gridCol w:w="109"/>
        <w:gridCol w:w="109"/>
        <w:gridCol w:w="109"/>
        <w:gridCol w:w="109"/>
        <w:gridCol w:w="297"/>
        <w:gridCol w:w="719"/>
        <w:gridCol w:w="153"/>
        <w:gridCol w:w="109"/>
        <w:gridCol w:w="109"/>
        <w:gridCol w:w="109"/>
        <w:gridCol w:w="211"/>
        <w:gridCol w:w="466"/>
        <w:gridCol w:w="109"/>
        <w:gridCol w:w="109"/>
        <w:gridCol w:w="109"/>
        <w:gridCol w:w="109"/>
        <w:gridCol w:w="292"/>
        <w:gridCol w:w="709"/>
        <w:gridCol w:w="216"/>
      </w:tblGrid>
      <w:tr>
        <w:trPr/>
        <w:tc>
          <w:tcPr>
            <w:tcW w:w="238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2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 except per share data)</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Earnings Per Share</w:t>
            </w:r>
            <w:r>
              <w:rPr>
                <w:rFonts w:ascii="Arial;sans-serif" w:hAnsi="Arial;sans-serif"/>
                <w:b/>
                <w:color w:val="000000"/>
                <w:sz w:val="9"/>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Earnings Per Share</w:t>
            </w:r>
            <w:r>
              <w:rPr>
                <w:rFonts w:ascii="Arial;sans-serif" w:hAnsi="Arial;sans-serif"/>
                <w:b/>
                <w:color w:val="000000"/>
                <w:sz w:val="9"/>
              </w:rPr>
              <w:t>(a)</w:t>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Net Income (Loss)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Unrealized (Gain) Loss on Fair Value Adjustments (net of taxes of $116 and $37, respectively)</w:t>
            </w:r>
            <w:r>
              <w:rPr>
                <w:rFonts w:ascii="Arial;sans-serif" w:hAnsi="Arial;sans-serif"/>
                <w:b w:val="false"/>
                <w:color w:val="000000"/>
                <w:sz w:val="12"/>
              </w:rPr>
              <w:t>(b)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Decommissioning-Related Activities (net of taxes of $298 and $208, respectively)</w:t>
            </w:r>
            <w:r>
              <w:rPr>
                <w:rFonts w:ascii="Arial;sans-serif" w:hAnsi="Arial;sans-serif"/>
                <w:b w:val="false"/>
                <w:color w:val="000000"/>
                <w:sz w:val="12"/>
              </w:rPr>
              <w:t>(c)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Acquired Commodity Contracts (net of taxes of $51 and $—, respectively)</w:t>
            </w:r>
            <w:r>
              <w:rPr>
                <w:rFonts w:ascii="Arial;sans-serif" w:hAnsi="Arial;sans-serif"/>
                <w:b w:val="false"/>
                <w:color w:val="000000"/>
                <w:sz w:val="12"/>
              </w:rPr>
              <w:t>(d)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Calpine Merger and Integration Costs (net of taxes of $17 and $3, respectively)</w:t>
            </w:r>
            <w:r>
              <w:rPr>
                <w:rFonts w:ascii="Arial;sans-serif" w:hAnsi="Arial;sans-serif"/>
                <w:b w:val="false"/>
                <w:color w:val="000000"/>
                <w:sz w:val="12"/>
              </w:rPr>
              <w: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Plant Retirements and Divestitures (net of taxes of $— and $2, respectively)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&amp; OPEB Non-Service (Credits) Costs (net of taxes of $7 and $3, respectively)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 in Legal and Environmental Liabilities (net of taxes of $12 and $—, respectively)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5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Adjusted (non-GAAP) Operating Earnings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08025"/>
                <wp:effectExtent l="0" t="0" r="0" b="0"/>
                <wp:wrapNone/>
                <wp:docPr id="60" name="Frame60"/>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53"/>
        <w:gridCol w:w="1335"/>
        <w:gridCol w:w="1343"/>
        <w:gridCol w:w="211"/>
        <w:gridCol w:w="616"/>
        <w:gridCol w:w="109"/>
        <w:gridCol w:w="109"/>
        <w:gridCol w:w="109"/>
        <w:gridCol w:w="109"/>
        <w:gridCol w:w="288"/>
        <w:gridCol w:w="699"/>
        <w:gridCol w:w="148"/>
        <w:gridCol w:w="109"/>
        <w:gridCol w:w="109"/>
        <w:gridCol w:w="109"/>
        <w:gridCol w:w="211"/>
        <w:gridCol w:w="616"/>
        <w:gridCol w:w="109"/>
        <w:gridCol w:w="109"/>
        <w:gridCol w:w="109"/>
        <w:gridCol w:w="109"/>
        <w:gridCol w:w="284"/>
        <w:gridCol w:w="690"/>
        <w:gridCol w:w="212"/>
      </w:tblGrid>
      <w:tr>
        <w:trPr/>
        <w:tc>
          <w:tcPr>
            <w:tcW w:w="235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50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(In millions, except per share data)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Earnings Per Share</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Earnings Per Share</w:t>
            </w:r>
            <w:r>
              <w:rPr>
                <w:rFonts w:ascii="Arial;sans-serif" w:hAnsi="Arial;sans-serif"/>
                <w:b/>
                <w:color w:val="000000"/>
                <w:sz w:val="9"/>
              </w:rPr>
              <w:t>(a)</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Net Income (Loss) Attributable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Unrealized (Gain) Loss on Fair Value Adjustments (net of taxes of $131 and $131, respectively)</w:t>
            </w:r>
            <w:r>
              <w:rPr>
                <w:rFonts w:ascii="Arial;sans-serif" w:hAnsi="Arial;sans-serif"/>
                <w:b w:val="false"/>
                <w:color w:val="000000"/>
                <w:sz w:val="12"/>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Decommissioning-Related Activities (net of taxes of $377 and $239, respectively)</w:t>
            </w:r>
            <w:r>
              <w:rPr>
                <w:rFonts w:ascii="Arial;sans-serif" w:hAnsi="Arial;sans-serif"/>
                <w:b w:val="false"/>
                <w:color w:val="000000"/>
                <w:sz w:val="12"/>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Acquired Commodity Contracts (net of taxes of $104 and $—, respectively)</w:t>
            </w:r>
            <w:r>
              <w:rPr>
                <w:rFonts w:ascii="Arial;sans-serif" w:hAnsi="Arial;sans-serif"/>
                <w:b w:val="false"/>
                <w:color w:val="000000"/>
                <w:sz w:val="12"/>
              </w:rPr>
              <w:t>(d)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Calpine Merger and Integration Costs (net of taxes of $39 and $8, respectively)</w:t>
            </w:r>
            <w:r>
              <w:rPr>
                <w:rFonts w:ascii="Arial;sans-serif" w:hAnsi="Arial;sans-serif"/>
                <w:b w:val="false"/>
                <w:color w:val="000000"/>
                <w:sz w:val="12"/>
              </w:rPr>
              <w: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Plant Retirements and Divestitures (net of taxes of $— and $6,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&amp; OPEB Non-Service (Credits) Costs (net of taxes of $14 and $6,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Change in Legal and Environmental Liabilities (net of taxes of $12 and $—,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Tax-Related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Noncontrolling Interests</w:t>
            </w:r>
            <w:r>
              <w:rPr>
                <w:rFonts w:ascii="Arial;sans-serif" w:hAnsi="Arial;sans-serif"/>
                <w:b w:val="false"/>
                <w:color w:val="000000"/>
                <w:sz w:val="12"/>
              </w:rPr>
              <w:t>(f)</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Adjusted (non-GAAP) Operating Earnings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(a)Amounts may not sum due to rounding. Earnings per share amount is based on average diluted common shares outstanding of 360 million and 314 million for the three months ended June 30, 2026 and 2025, respectively, and 357 million and 314 million for the six months ended June 30, 2026 and 2025, respectively.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unrealized gains and losses on economic hedges, interest rate swaps, and fair value adjustments related to gas imbalances and equity investments.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(c)Reflects all gains and losses associated with NDTs, ARO accretion, ARC depreciation, ARO remeasurement, and impacts of contractual offset for Regulatory Agreement Units. The tax effects of Regulatory Agreement Units result in a 100% effective tax rate under contractual offset accounting. Additionally, the tax effects of NDT investment returns result in different effective tax rates depending on whether the underlying funds are held within qualified or non-qualified trusts.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(d)In 2026, reflects the non-cash impacts of the amortization of certain commodity contracts recorded at fair value associated with the Calpine acquisition.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(e)Reflects costs associated with the completion of the Calpine merger and subsequent integration of its operations. Certain of these transaction-related expenses are not tax deductible.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(f)Represents elimination of the noncontrolling interest portion of certain adjustments included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8025"/>
                <wp:effectExtent l="0" t="0" r="0" b="0"/>
                <wp:wrapNone/>
                <wp:docPr id="61" name="Frame61"/>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59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166"/>
        <w:gridCol w:w="765"/>
        <w:gridCol w:w="7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5"/>
      </w:tblGrid>
      <w:tr>
        <w:trPr/>
        <w:tc>
          <w:tcPr>
            <w:tcW w:w="116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r>
      <w:tr>
        <w:trPr/>
        <w:tc>
          <w:tcPr>
            <w:tcW w:w="2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Purchased power and fuel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Taxes other than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Gain (loss) on sales of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Operating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income and (deductions)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other income and (deductions)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Income (loss)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Income tax (benefit)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Equity in income (losses) of unconsolidated affiliates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income (loss)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income (loss)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income (loss) attributable to common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Arial;sans-serif" w:hAnsi="Arial;sans-serif"/>
          <w:b/>
          <w:i/>
          <w:color w:val="000000"/>
          <w:sz w:val="18"/>
        </w:rPr>
        <w:t>Three Months Ended June 30, 2026 Compared to Three Months Ended June 30, 2025.</w:t>
      </w:r>
      <w:r>
        <w:rPr>
          <w:color w:val="000000"/>
        </w:rPr>
        <w:t xml:space="preserve"> </w:t>
      </w:r>
      <w:r>
        <w:rPr>
          <w:rFonts w:ascii="Arial;sans-serif" w:hAnsi="Arial;sans-serif"/>
          <w:b w:val="false"/>
          <w:color w:val="000000"/>
          <w:sz w:val="18"/>
        </w:rPr>
        <w:t>The variance in</w:t>
      </w:r>
      <w:r>
        <w:rPr>
          <w:color w:val="000000"/>
        </w:rPr>
        <w:t xml:space="preserve"> </w:t>
      </w:r>
      <w:r>
        <w:rPr>
          <w:rFonts w:ascii="Arial;sans-serif" w:hAnsi="Arial;sans-serif"/>
          <w:b w:val="false"/>
          <w:color w:val="000000"/>
          <w:sz w:val="18"/>
        </w:rPr>
        <w:t>Net income (loss) attributable to common shareholders</w:t>
      </w:r>
      <w:r>
        <w:rPr>
          <w:color w:val="000000"/>
        </w:rPr>
        <w:t xml:space="preserve"> </w:t>
      </w:r>
      <w:r>
        <w:rPr>
          <w:rFonts w:ascii="Arial;sans-serif" w:hAnsi="Arial;sans-serif"/>
          <w:b w:val="false"/>
          <w:color w:val="000000"/>
          <w:sz w:val="18"/>
        </w:rPr>
        <w:t>was unfavorable by ($326) million primarily due to:</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 xml:space="preserve">Unfavorable net unrealized losses on economic hedges; </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Unfavorable Calpine merger and integration costs; and</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 xml:space="preserve">Unfavorable impacts from nuclear outages.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unfavorable items were partially offset by:</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 xml:space="preserve">Favorable net market and portfolio conditions primarily driven by higher capacity revenues partially offset by lower CMC program revenue; and </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Addition of Calpine operations acquired in January 2026, inclusive of the impacts of purchase accounting. See Note 2 — Mergers, Acquisitions, and Dispositions of the Combined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08025"/>
                <wp:effectExtent l="0" t="0" r="0" b="0"/>
                <wp:wrapNone/>
                <wp:docPr id="62" name="Frame62"/>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Six Months Ended June 30, 2026</w:t>
      </w:r>
      <w:r>
        <w:rPr>
          <w:color w:val="000000"/>
        </w:rPr>
        <w:t xml:space="preserve"> </w:t>
      </w:r>
      <w:r>
        <w:rPr>
          <w:rFonts w:ascii="Arial;sans-serif" w:hAnsi="Arial;sans-serif"/>
          <w:b/>
          <w:i/>
          <w:color w:val="000000"/>
          <w:sz w:val="18"/>
        </w:rPr>
        <w:t>Compared to Six Months Ended June 30, 2025.</w:t>
      </w:r>
      <w:r>
        <w:rPr>
          <w:color w:val="000000"/>
        </w:rPr>
        <w:t xml:space="preserve"> </w:t>
      </w:r>
      <w:r>
        <w:rPr>
          <w:rFonts w:ascii="Arial;sans-serif" w:hAnsi="Arial;sans-serif"/>
          <w:b w:val="false"/>
          <w:color w:val="000000"/>
          <w:sz w:val="18"/>
        </w:rPr>
        <w:t>The variance in</w:t>
      </w:r>
      <w:r>
        <w:rPr>
          <w:color w:val="000000"/>
        </w:rPr>
        <w:t xml:space="preserve"> </w:t>
      </w:r>
      <w:r>
        <w:rPr>
          <w:rFonts w:ascii="Arial;sans-serif" w:hAnsi="Arial;sans-serif"/>
          <w:b w:val="false"/>
          <w:color w:val="000000"/>
          <w:sz w:val="18"/>
        </w:rPr>
        <w:t>Net income (loss) attributable to common shareholders</w:t>
      </w:r>
      <w:r>
        <w:rPr>
          <w:color w:val="000000"/>
        </w:rPr>
        <w:t xml:space="preserve"> </w:t>
      </w:r>
      <w:r>
        <w:rPr>
          <w:rFonts w:ascii="Arial;sans-serif" w:hAnsi="Arial;sans-serif"/>
          <w:b w:val="false"/>
          <w:color w:val="000000"/>
          <w:sz w:val="18"/>
        </w:rPr>
        <w:t>was favorable by $1,146 million primarily due to:</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Addition of Calpine operations acquired in January 2026, inclusive of the impacts of purchase accounting. See Note 2 — Mergers, Acquisitions, and Dispositions of the Combined Notes to Consolidated Financial Statements for additional information;</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Favorable net market and portfolio conditions primarily driven by higher capacity revenues partially offset by lower CMC program revenue;</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Favorable decommissioning-related activities primarily driven by the Q1 2026 nuclear ARO update. See Note 9 — Asset Retirement Obligations</w:t>
      </w:r>
      <w:r>
        <w:rPr>
          <w:color w:val="000000"/>
        </w:rPr>
        <w:t xml:space="preserve"> </w:t>
      </w:r>
      <w:r>
        <w:rPr>
          <w:rFonts w:ascii="Arial;sans-serif" w:hAnsi="Arial;sans-serif"/>
          <w:b w:val="false"/>
          <w:color w:val="000000"/>
          <w:sz w:val="18"/>
        </w:rPr>
        <w:t xml:space="preserve">of the Combined Notes to Consolidated Financial Statements for additional information; and </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 xml:space="preserve">Lower net unrealized loss on equity investments.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favorable items were partially offset by:</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Unfavorable Calpine merger and integration costs; and</w:t>
      </w:r>
    </w:p>
    <w:p>
      <w:pPr>
        <w:pStyle w:val="TextBody"/>
        <w:bidi w:val="0"/>
        <w:spacing w:lineRule="auto" w:line="288" w:before="180" w:after="180"/>
        <w:ind w:left="0" w:right="0" w:hanging="360"/>
        <w:jc w:val="both"/>
        <w:rPr/>
      </w:pPr>
      <w:r>
        <w:rPr>
          <w:color w:val="000000"/>
        </w:rPr>
        <w:t>•</w:t>
      </w:r>
      <w:r>
        <w:rPr>
          <w:rFonts w:ascii="Arial;sans-serif" w:hAnsi="Arial;sans-serif"/>
          <w:b w:val="false"/>
          <w:color w:val="000000"/>
          <w:sz w:val="18"/>
        </w:rPr>
        <w:t xml:space="preserve">Unfavorable impacts from nuclear outages. </w:t>
      </w:r>
    </w:p>
    <w:p>
      <w:pPr>
        <w:pStyle w:val="TextBody"/>
        <w:bidi w:val="0"/>
        <w:spacing w:lineRule="auto" w:line="288" w:before="180" w:after="180"/>
        <w:jc w:val="both"/>
        <w:rPr/>
      </w:pPr>
      <w:r>
        <w:rPr>
          <w:rFonts w:ascii="Arial;sans-serif" w:hAnsi="Arial;sans-serif"/>
          <w:b/>
          <w:i/>
          <w:color w:val="000000"/>
          <w:sz w:val="18"/>
        </w:rPr>
        <w:t xml:space="preserve">Operating revenues. </w:t>
      </w:r>
      <w:r>
        <w:rPr>
          <w:rFonts w:ascii="Arial;sans-serif" w:hAnsi="Arial;sans-serif"/>
          <w:b w:val="false"/>
          <w:color w:val="000000"/>
          <w:sz w:val="18"/>
        </w:rPr>
        <w:t>Our six reportable segments are Mid-Atlantic, Midwest, New York, ERCOT, Other Power Regions, and Calpine. See Note 5 — Segment Information of the Combined Notes to Consolidated Financial Statements for additional information on these reportable segments.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With the exception of Calpine's natural gas sales, which are included in the Calpine segment, wholesale and retail sales of natural gas, as well as sales of other energy-related products and sustainable solutions and other miscellaneous business activities that are not significant to overall results of operations, are reported under Other and not allocated to a segment.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For the three and six months ended June 30, 2026 compared to 2025, Operating revenues were as follows:</w:t>
      </w:r>
    </w:p>
    <w:tbl>
      <w:tblPr>
        <w:tblW w:w="11299" w:type="dxa"/>
        <w:jc w:val="left"/>
        <w:tblInd w:w="0" w:type="dxa"/>
        <w:tblLayout w:type="fixed"/>
        <w:tblCellMar>
          <w:top w:w="28" w:type="dxa"/>
          <w:left w:w="28" w:type="dxa"/>
          <w:bottom w:w="28" w:type="dxa"/>
          <w:right w:w="28" w:type="dxa"/>
        </w:tblCellMar>
      </w:tblPr>
      <w:tblGrid>
        <w:gridCol w:w="391"/>
        <w:gridCol w:w="344"/>
        <w:gridCol w:w="34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306"/>
        <w:gridCol w:w="310"/>
        <w:gridCol w:w="408"/>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06"/>
        <w:gridCol w:w="310"/>
        <w:gridCol w:w="4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reportable segment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Unrealized gains (losses)</w:t>
            </w:r>
            <w:r>
              <w:rPr>
                <w:rFonts w:ascii="Arial;sans-serif" w:hAnsi="Arial;sans-serif"/>
                <w:b w:val="false"/>
                <w:color w:val="000000"/>
                <w:sz w:val="12"/>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Change in unrealized gains (losses) is not a meaningful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08025"/>
                <wp:effectExtent l="0" t="0" r="0" b="0"/>
                <wp:wrapNone/>
                <wp:docPr id="63" name="Frame63"/>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 xml:space="preserve">Sales and Supply Sources. </w:t>
      </w:r>
      <w:r>
        <w:rPr>
          <w:rFonts w:ascii="Arial;sans-serif" w:hAnsi="Arial;sans-serif"/>
          <w:b w:val="false"/>
          <w:color w:val="000000"/>
          <w:sz w:val="18"/>
        </w:rPr>
        <w:t>Our sales and supply volumes (GWhs) by segment are summarized below:</w:t>
      </w:r>
    </w:p>
    <w:tbl>
      <w:tblPr>
        <w:tblW w:w="10962" w:type="dxa"/>
        <w:jc w:val="left"/>
        <w:tblInd w:w="0" w:type="dxa"/>
        <w:tblLayout w:type="fixed"/>
        <w:tblCellMar>
          <w:top w:w="28" w:type="dxa"/>
          <w:left w:w="28" w:type="dxa"/>
          <w:bottom w:w="28" w:type="dxa"/>
          <w:right w:w="28" w:type="dxa"/>
        </w:tblCellMar>
      </w:tblPr>
      <w:tblGrid>
        <w:gridCol w:w="507"/>
        <w:gridCol w:w="353"/>
        <w:gridCol w:w="356"/>
        <w:gridCol w:w="456"/>
        <w:gridCol w:w="265"/>
        <w:gridCol w:w="109"/>
        <w:gridCol w:w="109"/>
        <w:gridCol w:w="109"/>
        <w:gridCol w:w="109"/>
        <w:gridCol w:w="456"/>
        <w:gridCol w:w="265"/>
        <w:gridCol w:w="109"/>
        <w:gridCol w:w="109"/>
        <w:gridCol w:w="109"/>
        <w:gridCol w:w="109"/>
        <w:gridCol w:w="358"/>
        <w:gridCol w:w="363"/>
        <w:gridCol w:w="191"/>
        <w:gridCol w:w="109"/>
        <w:gridCol w:w="109"/>
        <w:gridCol w:w="109"/>
        <w:gridCol w:w="306"/>
        <w:gridCol w:w="310"/>
        <w:gridCol w:w="408"/>
        <w:gridCol w:w="109"/>
        <w:gridCol w:w="109"/>
        <w:gridCol w:w="109"/>
        <w:gridCol w:w="522"/>
        <w:gridCol w:w="304"/>
        <w:gridCol w:w="109"/>
        <w:gridCol w:w="109"/>
        <w:gridCol w:w="109"/>
        <w:gridCol w:w="109"/>
        <w:gridCol w:w="522"/>
        <w:gridCol w:w="304"/>
        <w:gridCol w:w="109"/>
        <w:gridCol w:w="109"/>
        <w:gridCol w:w="109"/>
        <w:gridCol w:w="109"/>
        <w:gridCol w:w="359"/>
        <w:gridCol w:w="362"/>
        <w:gridCol w:w="191"/>
        <w:gridCol w:w="109"/>
        <w:gridCol w:w="109"/>
        <w:gridCol w:w="109"/>
        <w:gridCol w:w="306"/>
        <w:gridCol w:w="310"/>
        <w:gridCol w:w="463"/>
      </w:tblGrid>
      <w:tr>
        <w:trPr/>
        <w:tc>
          <w:tcPr>
            <w:tcW w:w="5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4"/>
              </w:rPr>
            </w:pPr>
            <w:r>
              <w:rPr>
                <w:rFonts w:ascii="Arial;sans-serif" w:hAnsi="Arial;sans-serif"/>
                <w:b/>
                <w:color w:val="000000"/>
                <w:sz w:val="14"/>
              </w:rPr>
              <w:t>(GWhs)</w:t>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Nuclear Generation</w:t>
            </w:r>
            <w:r>
              <w:rPr>
                <w:rFonts w:ascii="Arial;sans-serif" w:hAnsi="Arial;sans-serif"/>
                <w:b/>
                <w:color w:val="000000"/>
                <w:sz w:val="12"/>
              </w:rPr>
              <w:t>(a)</w:t>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ERCOT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Nuclear Generation</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8"/>
              </w:rPr>
              <w:t>Natural Gas, Oil, and Renewables</w:t>
            </w:r>
            <w:r>
              <w:rPr>
                <w:rFonts w:ascii="Arial;sans-serif" w:hAnsi="Arial;sans-serif"/>
                <w:b/>
                <w:color w:val="000000"/>
                <w:sz w:val="12"/>
              </w:rPr>
              <w:t>(a)</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ERCOT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Calpine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24,914 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51,411 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Natural Gas, Oil, and Renewables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25,089 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451.2 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51,246 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447.0 </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Purchased Power</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Mid-Atlantic</w:t>
            </w:r>
            <w:r>
              <w:rPr>
                <w:color w:val="000000"/>
              </w:rPr>
              <w:t xml:space="preserve">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Calpine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Purchased Power</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Supply/Sales by Segment</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ERCOT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Calpine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56,228 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Supply/Sales by Segment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24,174 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49,081 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36.6 </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the proportionate share of output where we have an undivided ownership interest in jointly-owned generating plants.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08025"/>
                <wp:effectExtent l="0" t="0" r="0" b="0"/>
                <wp:wrapNone/>
                <wp:docPr id="64" name="Frame64"/>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 xml:space="preserve">Nuclear Fleet Capacity Factor. </w:t>
      </w:r>
      <w:r>
        <w:rPr>
          <w:rFonts w:ascii="Arial;sans-serif" w:hAnsi="Arial;sans-serif"/>
          <w:b w:val="false"/>
          <w:color w:val="000000"/>
          <w:sz w:val="18"/>
        </w:rPr>
        <w:t>The following table presents nuclear fleet operating data for our plants that reflects our ownership percentage for stations operated by us and excludes Salem and STP, which are operated by PSEG and STPNOC, respectively. The nuclear fleet capacity factor presented in the table is defined as the ratio of the actual output of a unit (or combination of units) over a period of time to its output if the unit had operated at net monthly mean capacity for that time period. We consider capacity factor to be a useful measure to analyze the nuclear fleet performance between periods. We have included the analysis below as a complement to the financial information provided in accordance with GAAP. However, these measures are not a presentation defined under GAAP and may not be comparable to other companies’ presentations or be more useful than the GAAP information provided elsewhere in this report.</w:t>
      </w:r>
    </w:p>
    <w:tbl>
      <w:tblPr>
        <w:tblW w:w="7325" w:type="dxa"/>
        <w:jc w:val="left"/>
        <w:tblInd w:w="0" w:type="dxa"/>
        <w:tblLayout w:type="fixed"/>
        <w:tblCellMar>
          <w:top w:w="28" w:type="dxa"/>
          <w:left w:w="28" w:type="dxa"/>
          <w:bottom w:w="28" w:type="dxa"/>
          <w:right w:w="28" w:type="dxa"/>
        </w:tblCellMar>
      </w:tblPr>
      <w:tblGrid>
        <w:gridCol w:w="857"/>
        <w:gridCol w:w="753"/>
        <w:gridCol w:w="759"/>
        <w:gridCol w:w="255"/>
        <w:gridCol w:w="256"/>
        <w:gridCol w:w="411"/>
        <w:gridCol w:w="165"/>
        <w:gridCol w:w="165"/>
        <w:gridCol w:w="165"/>
        <w:gridCol w:w="255"/>
        <w:gridCol w:w="256"/>
        <w:gridCol w:w="411"/>
        <w:gridCol w:w="109"/>
        <w:gridCol w:w="109"/>
        <w:gridCol w:w="109"/>
        <w:gridCol w:w="255"/>
        <w:gridCol w:w="256"/>
        <w:gridCol w:w="376"/>
        <w:gridCol w:w="151"/>
        <w:gridCol w:w="151"/>
        <w:gridCol w:w="151"/>
        <w:gridCol w:w="255"/>
        <w:gridCol w:w="256"/>
        <w:gridCol w:w="439"/>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Nuclear fleet capacity factor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92.7 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94.5 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Refueling outage days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Non-refueling outage days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Arial;sans-serif" w:hAnsi="Arial;sans-serif"/>
          <w:b/>
          <w:i/>
          <w:color w:val="000000"/>
          <w:sz w:val="18"/>
        </w:rPr>
        <w:t xml:space="preserve">Equivalent Forced Outage Factor (Natural Gas, Oil, and Pumped-storage Hydro). </w:t>
      </w:r>
      <w:r>
        <w:rPr>
          <w:rFonts w:ascii="Arial;sans-serif" w:hAnsi="Arial;sans-serif"/>
          <w:b w:val="false"/>
          <w:color w:val="000000"/>
          <w:sz w:val="18"/>
        </w:rPr>
        <w:t>As a result of our expanded fleet following the acquisition of Calpine in January 2026, we now consider EFOF to be a key operational metric beginning in 2026. EFOF represents the percentage for which a generating unit is not available due to forced outages and forced deratings in a given period. We consider EFOF to be a useful measure in analyzing the reliability and performance of our natural gas, oil, and pumped-storage hydro fleet. The EFOF for the three and six months ended June 30, 2026 was 6.2% and 5.2%, respectively. This operational metric is being included as a complement to the financial information provided in accordance with GAAP. However, as an operational metric, it may not be calculated or presented in a manner comparable to similar metrics used by other companies.</w:t>
      </w:r>
    </w:p>
    <w:p>
      <w:pPr>
        <w:pStyle w:val="TextBody"/>
        <w:bidi w:val="0"/>
        <w:spacing w:lineRule="auto" w:line="288" w:before="180" w:after="180"/>
        <w:jc w:val="both"/>
        <w:rPr/>
      </w:pPr>
      <w:r>
        <w:rPr>
          <w:rFonts w:ascii="Arial;sans-serif" w:hAnsi="Arial;sans-serif"/>
          <w:b/>
          <w:i/>
          <w:color w:val="000000"/>
          <w:sz w:val="18"/>
        </w:rPr>
        <w:t xml:space="preserve">Electricity Prices. </w:t>
      </w:r>
      <w:r>
        <w:rPr>
          <w:rFonts w:ascii="Arial;sans-serif" w:hAnsi="Arial;sans-serif"/>
          <w:b w:val="false"/>
          <w:color w:val="000000"/>
          <w:sz w:val="18"/>
        </w:rPr>
        <w:t>As a producer and supplier of electricity, the price of electricity has a significant impact on our operating revenues and purchased power cost. We report the sale and purchase of electricity in the spot market on a net hourly basis in either Operating revenues or Purchased power and fuel expense based on our net hourly position. We assess the net position by ISO/RTO across segments and, where applicable, by segment within the ISO/RTO. The price of electricity is impacted by several variables, including but not limited to, the price of fuels, generation resources in the geographic region, weather, ongoing competition, emerging technologies, as well as macroeconomic and regulatory factors. The following table presents an average day-ahead around-the-clock reference price ($/MWh) for the periods presented for zones/hubs in each ISO/RTO where we have significant activity. This does not reflect prices we ultimately realized.</w:t>
      </w:r>
    </w:p>
    <w:tbl>
      <w:tblPr>
        <w:tblW w:w="11059" w:type="dxa"/>
        <w:jc w:val="left"/>
        <w:tblInd w:w="0" w:type="dxa"/>
        <w:tblLayout w:type="fixed"/>
        <w:tblCellMar>
          <w:top w:w="28" w:type="dxa"/>
          <w:left w:w="28" w:type="dxa"/>
          <w:bottom w:w="28" w:type="dxa"/>
          <w:right w:w="28" w:type="dxa"/>
        </w:tblCellMar>
      </w:tblPr>
      <w:tblGrid>
        <w:gridCol w:w="576"/>
        <w:gridCol w:w="505"/>
        <w:gridCol w:w="255"/>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62"/>
        <w:gridCol w:w="264"/>
        <w:gridCol w:w="408"/>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2"/>
        <w:gridCol w:w="264"/>
        <w:gridCol w:w="463"/>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ISO/RTO</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PJM - PJM West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PJM - ComEd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NYISO - Central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ERCOT - North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 - Houston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ISO-NE - Southeast Massachusetts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CAISO - NP15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(31.5)</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08025"/>
                <wp:effectExtent l="0" t="0" r="0" b="0"/>
                <wp:wrapNone/>
                <wp:docPr id="65" name="Frame65"/>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 xml:space="preserve">Capacity Prices. </w:t>
      </w:r>
      <w:r>
        <w:rPr>
          <w:rFonts w:ascii="Arial;sans-serif" w:hAnsi="Arial;sans-serif"/>
          <w:b w:val="false"/>
          <w:color w:val="000000"/>
          <w:sz w:val="18"/>
        </w:rPr>
        <w:t>We participate in capacity auctions in each ISO/RTO where we have qualifying generating assets. We also incur capacity costs associated with load served, which are factored into customer sales prices. Capacity prices have a material impact on our operating revenues and purchased power and fuel expense. We report capacity on a net monthly basis in either Operating revenues or Purchased power and fuel expense. We assess the net position by ISO/RTO across segments and, where applicable, by segment within the ISO/RTO. The following table presents the average capacity prices ($/MW Day) for each ISO/RTO in which we have significant activity. Prices reflect the weighted average prices for the various auction periods within the three and six months ended June 30, 2026 and 2025.</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also enter into bilateral capacity contracts at negotiated contract prices. These contracts primarily relate to resource adequacy in CAISO and have a material impact on our operating revenues. Negotiated contract prices from these bilateral contracts are not included in the table below.</w:t>
      </w:r>
    </w:p>
    <w:tbl>
      <w:tblPr>
        <w:tblW w:w="11614" w:type="dxa"/>
        <w:jc w:val="left"/>
        <w:tblInd w:w="0" w:type="dxa"/>
        <w:tblLayout w:type="fixed"/>
        <w:tblCellMar>
          <w:top w:w="28" w:type="dxa"/>
          <w:left w:w="28" w:type="dxa"/>
          <w:bottom w:w="28" w:type="dxa"/>
          <w:right w:w="28" w:type="dxa"/>
        </w:tblCellMar>
      </w:tblPr>
      <w:tblGrid>
        <w:gridCol w:w="391"/>
        <w:gridCol w:w="343"/>
        <w:gridCol w:w="34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08"/>
        <w:gridCol w:w="308"/>
        <w:gridCol w:w="408"/>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308"/>
        <w:gridCol w:w="308"/>
        <w:gridCol w:w="463"/>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ISO/RTO</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PJM - Eastern Mid-Atlantic Area Council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130.4 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212.1 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PJM - ComEd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165.1 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305.0 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NYISO - Rest of 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ISO-NE - Rest of Pool</w:t>
            </w:r>
            <w:r>
              <w:rPr>
                <w:rFonts w:ascii="Arial;sans-serif" w:hAnsi="Arial;sans-serif"/>
                <w:b w:val="false"/>
                <w:color w:val="000000"/>
                <w:sz w:val="12"/>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(a)We did not have significant activity at this zone for the three months ended June 30, 2025.</w:t>
      </w:r>
    </w:p>
    <w:p>
      <w:pPr>
        <w:pStyle w:val="TextBody"/>
        <w:bidi w:val="0"/>
        <w:spacing w:lineRule="auto" w:line="288" w:before="180" w:after="180"/>
        <w:jc w:val="both"/>
        <w:rPr/>
      </w:pPr>
      <w:r>
        <w:rPr>
          <w:rFonts w:ascii="Arial;sans-serif" w:hAnsi="Arial;sans-serif"/>
          <w:b/>
          <w:i/>
          <w:color w:val="000000"/>
          <w:sz w:val="18"/>
        </w:rPr>
        <w:t xml:space="preserve">ZEC Prices. </w:t>
      </w:r>
      <w:r>
        <w:rPr>
          <w:rFonts w:ascii="Arial;sans-serif" w:hAnsi="Arial;sans-serif"/>
          <w:b w:val="false"/>
          <w:color w:val="000000"/>
          <w:sz w:val="18"/>
        </w:rPr>
        <w:t>We are compensated through state programs for the emissions-free attributes of our nuclear generation. The following table includes the average ZEC reference prices ($/MWh) for each state and associated segment in which state programs have been enacted. Gross prices reflect the weighted average price for the various delivery periods within the three and six months ended June 30, 2026 and 2025 and may not necessarily reflect prices we ultimately realized as a result of interaction with the nuclear PTC discussed below.</w:t>
      </w:r>
    </w:p>
    <w:tbl>
      <w:tblPr>
        <w:tblW w:w="10849" w:type="dxa"/>
        <w:jc w:val="left"/>
        <w:tblInd w:w="0" w:type="dxa"/>
        <w:tblLayout w:type="fixed"/>
        <w:tblCellMar>
          <w:top w:w="28" w:type="dxa"/>
          <w:left w:w="28" w:type="dxa"/>
          <w:bottom w:w="28" w:type="dxa"/>
          <w:right w:w="28" w:type="dxa"/>
        </w:tblCellMar>
      </w:tblPr>
      <w:tblGrid>
        <w:gridCol w:w="461"/>
        <w:gridCol w:w="406"/>
        <w:gridCol w:w="334"/>
        <w:gridCol w:w="211"/>
        <w:gridCol w:w="406"/>
        <w:gridCol w:w="109"/>
        <w:gridCol w:w="109"/>
        <w:gridCol w:w="109"/>
        <w:gridCol w:w="109"/>
        <w:gridCol w:w="211"/>
        <w:gridCol w:w="616"/>
        <w:gridCol w:w="109"/>
        <w:gridCol w:w="109"/>
        <w:gridCol w:w="109"/>
        <w:gridCol w:w="109"/>
        <w:gridCol w:w="211"/>
        <w:gridCol w:w="631"/>
        <w:gridCol w:w="109"/>
        <w:gridCol w:w="109"/>
        <w:gridCol w:w="109"/>
        <w:gridCol w:w="109"/>
        <w:gridCol w:w="315"/>
        <w:gridCol w:w="316"/>
        <w:gridCol w:w="408"/>
        <w:gridCol w:w="109"/>
        <w:gridCol w:w="109"/>
        <w:gridCol w:w="109"/>
        <w:gridCol w:w="211"/>
        <w:gridCol w:w="406"/>
        <w:gridCol w:w="109"/>
        <w:gridCol w:w="109"/>
        <w:gridCol w:w="109"/>
        <w:gridCol w:w="109"/>
        <w:gridCol w:w="211"/>
        <w:gridCol w:w="616"/>
        <w:gridCol w:w="109"/>
        <w:gridCol w:w="109"/>
        <w:gridCol w:w="109"/>
        <w:gridCol w:w="109"/>
        <w:gridCol w:w="211"/>
        <w:gridCol w:w="631"/>
        <w:gridCol w:w="109"/>
        <w:gridCol w:w="109"/>
        <w:gridCol w:w="109"/>
        <w:gridCol w:w="109"/>
        <w:gridCol w:w="315"/>
        <w:gridCol w:w="316"/>
        <w:gridCol w:w="463"/>
      </w:tblGrid>
      <w:tr>
        <w:trPr/>
        <w:tc>
          <w:tcPr>
            <w:tcW w:w="4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State (Segment)</w:t>
            </w:r>
            <w:r>
              <w:rPr>
                <w:rFonts w:ascii="Arial;sans-serif" w:hAnsi="Arial;sans-serif"/>
                <w:b/>
                <w:color w:val="000000"/>
                <w:sz w:val="9"/>
              </w:rPr>
              <w:t xml:space="preserve">(a)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New Jersey (Mid-Atlantic)</w:t>
            </w:r>
            <w:r>
              <w:rPr>
                <w:rFonts w:ascii="Arial;sans-serif" w:hAnsi="Arial;sans-serif"/>
                <w:b w:val="false"/>
                <w:color w:val="000000"/>
                <w:sz w:val="12"/>
              </w:rPr>
              <w:t>(b)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Illinois (Midwest</w:t>
            </w:r>
            <w:r>
              <w:rPr>
                <w:rFonts w:ascii="Times New Roman;serif" w:hAnsi="Times New Roman;serif"/>
                <w:b w:val="false"/>
                <w:color w:val="000000"/>
                <w:sz w:val="20"/>
              </w:rPr>
              <w: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(83.1)</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 (New York)</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(a)See ITEM 1. BUSINESS, Environmental Matters and Regulation of our 2025 Form 10-K for additional information on the plants receiving payments through state programs.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(b)The New Jersey ZEC program concluded in May 2025.</w:t>
      </w:r>
    </w:p>
    <w:p>
      <w:pPr>
        <w:pStyle w:val="TextBody"/>
        <w:bidi w:val="0"/>
        <w:spacing w:lineRule="auto" w:line="288" w:before="180" w:after="180"/>
        <w:jc w:val="both"/>
        <w:rPr/>
      </w:pPr>
      <w:r>
        <w:rPr>
          <w:rFonts w:ascii="Arial;sans-serif" w:hAnsi="Arial;sans-serif"/>
          <w:b/>
          <w:i/>
          <w:color w:val="000000"/>
          <w:sz w:val="18"/>
        </w:rPr>
        <w:t>Illinois CMC Price.</w:t>
      </w:r>
      <w:r>
        <w:rPr>
          <w:color w:val="000000"/>
        </w:rPr>
        <w:t xml:space="preserve"> </w:t>
      </w:r>
      <w:r>
        <w:rPr>
          <w:rFonts w:ascii="Arial;sans-serif" w:hAnsi="Arial;sans-serif"/>
          <w:b w:val="false"/>
          <w:color w:val="000000"/>
          <w:sz w:val="18"/>
        </w:rPr>
        <w:t>The price received (paid) for each CMC is determined by the IPA monthly by subtracting energy and capacity index prices from the bid price, which resulted in $33.43 per MWh for the period June 2024 through May 2025, $33.50 per MWh for the period June 2025 through May 2026, and $34.50 per MWh for the period June 2026 through May 2027. If the monthly CMC price per MWh calculation results in a net positive value, ComEd will multiply that value by the delivered quantity and pay the total to us. If the CMC price per MWh calculation results in a net negative value, we will multiply this value by the delivered quantity and pay the net value to ComEd. The average CMC prices per MWh were ($5.91) and ($0.42) for the three months ended June 30, 2026 and 2025, respectively, and ($16.05) and ($1.23) for the six months ended June 30, 2026 and 2025, respectively. The average CMC prices may not necessarily reflect prices we ultimately realized as a result of interaction with the nuclear PTC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08025"/>
                <wp:effectExtent l="0" t="0" r="0" b="0"/>
                <wp:wrapNone/>
                <wp:docPr id="66" name="Frame66"/>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 xml:space="preserve">Nuclear PTC. </w:t>
      </w:r>
      <w:r>
        <w:rPr>
          <w:rFonts w:ascii="Arial;sans-serif" w:hAnsi="Arial;sans-serif"/>
          <w:b w:val="false"/>
          <w:color w:val="000000"/>
          <w:sz w:val="18"/>
        </w:rPr>
        <w:t>Beginning in 2024, our nuclear units are eligible for a PTC extending through 2032. The nuclear PTC provides a transferable credit up to $15 per MWh and is subject to phase-out when annual gross receipts are between $26.00 per MWh and $44.75 per MWh for 2025 and 2026. Both the amount of the PTC and the gross receipts thresholds adjust for inflation annually through the duration of the program based on the GDP price deflator for the preceding calendar year.</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Many of the state-sponsored programs (e.g., ZECs and CMCs) providing compensation for the emissions-free attributes of generation from certain of our nuclear units include contractual or other provisions that require us to refund that compensation up to the amount of the nuclear PTC received or pass through the entirety of the nuclear PTC received. See Note 6 — Government Assistance of the Combined Notes to Consolidated Financial Statements for additional information on the nuclear PTC.</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summarizes the impacts to Operating revenues related to the benefits of nuclear PTC and state-sponsored programs subject to refund or pass through as described above for the three and six months ended June 30, 2026 compared to 2025:</w:t>
      </w:r>
    </w:p>
    <w:tbl>
      <w:tblPr>
        <w:tblW w:w="10205" w:type="dxa"/>
        <w:jc w:val="left"/>
        <w:tblInd w:w="0" w:type="dxa"/>
        <w:tblLayout w:type="fixed"/>
        <w:tblCellMar>
          <w:top w:w="28" w:type="dxa"/>
          <w:left w:w="28" w:type="dxa"/>
          <w:bottom w:w="28" w:type="dxa"/>
          <w:right w:w="28" w:type="dxa"/>
        </w:tblCellMar>
      </w:tblPr>
      <w:tblGrid>
        <w:gridCol w:w="795"/>
        <w:gridCol w:w="537"/>
        <w:gridCol w:w="364"/>
        <w:gridCol w:w="215"/>
        <w:gridCol w:w="368"/>
        <w:gridCol w:w="111"/>
        <w:gridCol w:w="111"/>
        <w:gridCol w:w="111"/>
        <w:gridCol w:w="111"/>
        <w:gridCol w:w="215"/>
        <w:gridCol w:w="368"/>
        <w:gridCol w:w="111"/>
        <w:gridCol w:w="109"/>
        <w:gridCol w:w="109"/>
        <w:gridCol w:w="109"/>
        <w:gridCol w:w="211"/>
        <w:gridCol w:w="382"/>
        <w:gridCol w:w="109"/>
        <w:gridCol w:w="109"/>
        <w:gridCol w:w="109"/>
        <w:gridCol w:w="109"/>
        <w:gridCol w:w="266"/>
        <w:gridCol w:w="266"/>
        <w:gridCol w:w="408"/>
        <w:gridCol w:w="109"/>
        <w:gridCol w:w="109"/>
        <w:gridCol w:w="109"/>
        <w:gridCol w:w="212"/>
        <w:gridCol w:w="364"/>
        <w:gridCol w:w="110"/>
        <w:gridCol w:w="110"/>
        <w:gridCol w:w="110"/>
        <w:gridCol w:w="110"/>
        <w:gridCol w:w="212"/>
        <w:gridCol w:w="364"/>
        <w:gridCol w:w="110"/>
        <w:gridCol w:w="109"/>
        <w:gridCol w:w="109"/>
        <w:gridCol w:w="109"/>
        <w:gridCol w:w="211"/>
        <w:gridCol w:w="382"/>
        <w:gridCol w:w="109"/>
        <w:gridCol w:w="109"/>
        <w:gridCol w:w="109"/>
        <w:gridCol w:w="109"/>
        <w:gridCol w:w="318"/>
        <w:gridCol w:w="319"/>
        <w:gridCol w:w="470"/>
      </w:tblGrid>
      <w:tr>
        <w:trPr/>
        <w:tc>
          <w:tcPr>
            <w:tcW w:w="79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Nuclear PTC revenue</w:t>
            </w:r>
            <w:r>
              <w:rPr>
                <w:rFonts w:ascii="Arial;sans-serif" w:hAnsi="Arial;sans-serif"/>
                <w:b w:val="false"/>
                <w:color w:val="000000"/>
                <w:sz w:val="12"/>
              </w:rPr>
              <w:t>(a)</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State-sponsored programs net revenue</w:t>
            </w:r>
            <w:r>
              <w:rPr>
                <w:rFonts w:ascii="Arial;sans-serif" w:hAnsi="Arial;sans-serif"/>
                <w:b w:val="false"/>
                <w:color w:val="000000"/>
                <w:sz w:val="12"/>
              </w:rPr>
              <w:t>(b)</w:t>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86.7 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(244.7)</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(a)Our estimate required the exercise of judgment in determining the amount of nuclear PTC expected for each of our nuclear units. Refer to Note 6 — Government Assistance of the Combined Notes to Consolidated Financial Statements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only state-sponsored programs that have contractual or other provisions that require us to refund that compensation up to the amount of the nuclear PTC received or pass through the entirety of the nuclear PTC received.</w:t>
      </w:r>
    </w:p>
    <w:p>
      <w:pPr>
        <w:pStyle w:val="TextBody"/>
        <w:bidi w:val="0"/>
        <w:spacing w:before="0" w:after="0"/>
        <w:jc w:val="left"/>
        <w:rPr/>
      </w:pPr>
      <w:r>
        <w:rPr/>
      </w:r>
    </w:p>
    <w:p>
      <w:pPr>
        <w:pStyle w:val="TextBody"/>
        <w:bidi w:val="0"/>
        <w:spacing w:lineRule="auto" w:line="288" w:before="180" w:after="180"/>
        <w:jc w:val="both"/>
        <w:rPr/>
      </w:pPr>
      <w:r>
        <w:rPr>
          <w:rFonts w:ascii="Arial;sans-serif" w:hAnsi="Arial;sans-serif"/>
          <w:b w:val="false"/>
          <w:color w:val="000000"/>
          <w:sz w:val="18"/>
        </w:rPr>
        <w:t xml:space="preserve">For the three and six months ended June 30, 2026 compared to 2025, changes in </w:t>
      </w:r>
      <w:r>
        <w:rPr>
          <w:rFonts w:ascii="Arial;sans-serif" w:hAnsi="Arial;sans-serif"/>
          <w:b/>
          <w:color w:val="000000"/>
          <w:sz w:val="18"/>
        </w:rPr>
        <w:t>Operating revenues</w:t>
      </w:r>
      <w:r>
        <w:rPr>
          <w:color w:val="000000"/>
        </w:rPr>
        <w:t xml:space="preserve"> </w:t>
      </w:r>
      <w:r>
        <w:rPr>
          <w:rFonts w:ascii="Arial;sans-serif" w:hAnsi="Arial;sans-serif"/>
          <w:b w:val="false"/>
          <w:color w:val="000000"/>
          <w:sz w:val="18"/>
        </w:rPr>
        <w:t>by segment were approximately as follows:</w:t>
      </w:r>
    </w:p>
    <w:tbl>
      <w:tblPr>
        <w:tblW w:w="10205" w:type="dxa"/>
        <w:jc w:val="left"/>
        <w:tblInd w:w="0" w:type="dxa"/>
        <w:tblLayout w:type="fixed"/>
        <w:tblCellMar>
          <w:top w:w="28" w:type="dxa"/>
          <w:left w:w="28" w:type="dxa"/>
          <w:bottom w:w="28" w:type="dxa"/>
          <w:right w:w="28" w:type="dxa"/>
        </w:tblCellMar>
      </w:tblPr>
      <w:tblGrid>
        <w:gridCol w:w="391"/>
        <w:gridCol w:w="344"/>
        <w:gridCol w:w="346"/>
        <w:gridCol w:w="211"/>
        <w:gridCol w:w="466"/>
        <w:gridCol w:w="109"/>
        <w:gridCol w:w="109"/>
        <w:gridCol w:w="109"/>
        <w:gridCol w:w="109"/>
        <w:gridCol w:w="203"/>
        <w:gridCol w:w="203"/>
        <w:gridCol w:w="408"/>
        <w:gridCol w:w="109"/>
        <w:gridCol w:w="109"/>
        <w:gridCol w:w="109"/>
        <w:gridCol w:w="638"/>
        <w:gridCol w:w="638"/>
        <w:gridCol w:w="645"/>
        <w:gridCol w:w="109"/>
        <w:gridCol w:w="109"/>
        <w:gridCol w:w="109"/>
        <w:gridCol w:w="211"/>
        <w:gridCol w:w="466"/>
        <w:gridCol w:w="109"/>
        <w:gridCol w:w="109"/>
        <w:gridCol w:w="109"/>
        <w:gridCol w:w="109"/>
        <w:gridCol w:w="203"/>
        <w:gridCol w:w="203"/>
        <w:gridCol w:w="408"/>
        <w:gridCol w:w="109"/>
        <w:gridCol w:w="109"/>
        <w:gridCol w:w="109"/>
        <w:gridCol w:w="689"/>
        <w:gridCol w:w="689"/>
        <w:gridCol w:w="99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w:t>
              <w:br/>
              <w: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retail load revenue of $160 primarily due to higher contracted energy prices; partially offset by</w:t>
              <w:br/>
              <w:t>• unfavorable realized economic hedges of $90 due to settled prices relative to hedged prices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retail load revenue of $470 primarily due to higher contracted energy prices</w:t>
              <w:br/>
              <w:t>• favorable wholesale load revenue of $145 primarily due to higher contracted energy prices, partially offset by lower load volumes; partially offset by</w:t>
              <w:br/>
              <w:t>• unfavorable realized economic hedges of $305 due to settled prices relative to hedged prices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08025"/>
                <wp:effectExtent l="0" t="0" r="0" b="0"/>
                <wp:wrapNone/>
                <wp:docPr id="67" name="Frame67"/>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42"/>
        <w:gridCol w:w="289"/>
        <w:gridCol w:w="291"/>
        <w:gridCol w:w="243"/>
        <w:gridCol w:w="244"/>
        <w:gridCol w:w="231"/>
        <w:gridCol w:w="111"/>
        <w:gridCol w:w="111"/>
        <w:gridCol w:w="111"/>
        <w:gridCol w:w="265"/>
        <w:gridCol w:w="267"/>
        <w:gridCol w:w="408"/>
        <w:gridCol w:w="109"/>
        <w:gridCol w:w="109"/>
        <w:gridCol w:w="109"/>
        <w:gridCol w:w="664"/>
        <w:gridCol w:w="664"/>
        <w:gridCol w:w="672"/>
        <w:gridCol w:w="109"/>
        <w:gridCol w:w="109"/>
        <w:gridCol w:w="109"/>
        <w:gridCol w:w="243"/>
        <w:gridCol w:w="244"/>
        <w:gridCol w:w="231"/>
        <w:gridCol w:w="110"/>
        <w:gridCol w:w="110"/>
        <w:gridCol w:w="110"/>
        <w:gridCol w:w="265"/>
        <w:gridCol w:w="267"/>
        <w:gridCol w:w="408"/>
        <w:gridCol w:w="109"/>
        <w:gridCol w:w="109"/>
        <w:gridCol w:w="109"/>
        <w:gridCol w:w="674"/>
        <w:gridCol w:w="674"/>
        <w:gridCol w:w="975"/>
      </w:tblGrid>
      <w:tr>
        <w:trPr/>
        <w:tc>
          <w:tcPr>
            <w:tcW w:w="3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w:t>
              <w:br/>
              <w: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retail load revenue of $110 primarily due to higher contracted energy prices</w:t>
              <w:br/>
              <w:t>• favorable net capacity revenue of $65 primarily due to higher prices; partially offset by</w:t>
              <w:br/>
              <w:t>• unfavorable ZEC program revenue of $135 primarily due to lower revenue recognized for Illinois ZECs delivered in prior planning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net generation and wholesale load revenue of $410 primarily due to higher energy prices and higher load volumes, partially offset by lower generation volumes</w:t>
              <w:br/>
              <w:t>• favorable retail load revenue of $325 primarily due to higher contracted energy prices and higher load volumes</w:t>
              <w:br/>
              <w:t>• favorable net capacity revenue of $155 primarily due to higher prices</w:t>
              <w:br/>
              <w:t>• favorable realized economic hedges of $85 due to settled prices relative to hedged prices; partially offset by</w:t>
              <w:br/>
              <w:t>• unfavorable CMC program revenue of $400 primarily due to higher energy and capacity prices</w:t>
              <w:br/>
              <w:t>• unfavorable ZEC program revenue of $175 primarily due to lower revenue recognized for Illinois ZECs delivered in prior planning years and decrease in ZEC price</w:t>
            </w:r>
          </w:p>
        </w:tc>
      </w:tr>
      <w:tr>
        <w:trPr/>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4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net generation revenue of $125 associated with the sale of generation volumes relative to purchased power to supply load primarily due to higher energy prices</w:t>
              <w:br/>
              <w:t>• favorable retail load revenue of $50 primarily due to higher contracted energy prices, partially offset by lower load volumes; partially offset by</w:t>
              <w:br/>
              <w:t>• unfavorable realized economic hedges of $90 due to settled prices relative to hedged prices</w:t>
            </w:r>
          </w:p>
        </w:tc>
      </w:tr>
      <w:tr>
        <w:trPr/>
        <w:tc>
          <w:tcPr>
            <w:tcW w:w="9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r>
      <w:tr>
        <w:trPr/>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4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unfavorable wholesale load revenue of $105 and retail load revenue of $100 primarily due to lower load volumes in New England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unfavorable wholesale load revenue of $230 primarily due to lower load volumes in New England</w:t>
              <w:br/>
              <w:t>• unfavorable retail load revenue of $100 primarily due to lower load volumes in New England and lower energy prices in the West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08025"/>
                <wp:effectExtent l="0" t="0" r="0" b="0"/>
                <wp:wrapNone/>
                <wp:docPr id="68" name="Frame68"/>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0"/>
        <w:gridCol w:w="361"/>
        <w:gridCol w:w="363"/>
        <w:gridCol w:w="211"/>
        <w:gridCol w:w="616"/>
        <w:gridCol w:w="109"/>
        <w:gridCol w:w="109"/>
        <w:gridCol w:w="109"/>
        <w:gridCol w:w="109"/>
        <w:gridCol w:w="308"/>
        <w:gridCol w:w="308"/>
        <w:gridCol w:w="408"/>
        <w:gridCol w:w="109"/>
        <w:gridCol w:w="109"/>
        <w:gridCol w:w="109"/>
        <w:gridCol w:w="667"/>
        <w:gridCol w:w="514"/>
        <w:gridCol w:w="521"/>
        <w:gridCol w:w="109"/>
        <w:gridCol w:w="109"/>
        <w:gridCol w:w="109"/>
        <w:gridCol w:w="211"/>
        <w:gridCol w:w="616"/>
        <w:gridCol w:w="109"/>
        <w:gridCol w:w="109"/>
        <w:gridCol w:w="109"/>
        <w:gridCol w:w="109"/>
        <w:gridCol w:w="308"/>
        <w:gridCol w:w="308"/>
        <w:gridCol w:w="408"/>
        <w:gridCol w:w="109"/>
        <w:gridCol w:w="109"/>
        <w:gridCol w:w="109"/>
        <w:gridCol w:w="637"/>
        <w:gridCol w:w="484"/>
        <w:gridCol w:w="693"/>
      </w:tblGrid>
      <w:tr>
        <w:trPr/>
        <w:tc>
          <w:tcPr>
            <w:tcW w:w="41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w:t>
              <w:br/>
              <w: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Calpine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represents the operating revenues associated with our Calpine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represents the operating revenues associated with our Calpine segment since the date of acquisition</w:t>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current year includes unfavorable amortization of $205 associated with certain commodity contracts related to the Calpine acquisition</w:t>
              <w:br/>
              <w:t>• unfavorable retail gas revenue of $60 primarily due to lower gas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408"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current year includes unfavorable amortization of $420 associated with certain commodity contracts related to the Calpine acquisition</w:t>
              <w:br/>
              <w:t>• unfavorable revenues in the United Kingdom, inclusive of realized economic hedges, of $70 primarily due to lower energy prices; partially offset by</w:t>
              <w:br/>
              <w:t>• favorable retail gas revenue of $100 primarily due to higher gas prices</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Unrealized gains or losses</w:t>
            </w:r>
            <w:r>
              <w:rPr>
                <w:rFonts w:ascii="Arial;sans-serif" w:hAnsi="Arial;sans-serif"/>
                <w:b w:val="false"/>
                <w:color w:val="000000"/>
                <w:sz w:val="12"/>
              </w:rPr>
              <w:t>(a)(b)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16"/>
              </w:rPr>
              <w:t>losses on economic hedging activities of $320 in 2026 compared to gains of $86 in 2025, inclusive of Calpine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16"/>
              </w:rPr>
              <w:t>gains on economic hedging activities of $995 in 2026 compared to losses of $201 in 2025, inclusive of Calpine</w:t>
            </w:r>
          </w:p>
        </w:tc>
      </w:tr>
      <w:tr>
        <w:trPr/>
        <w:tc>
          <w:tcPr>
            <w:tcW w:w="1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44.5 </w:t>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 Change in unrealized gains or losses is not a meaningful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(b)See Note 12 — Derivative Financial Instruments of the Combined Notes to Consolidated Financial Statements for additional information on unrealized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08025"/>
                <wp:effectExtent l="0" t="0" r="0" b="0"/>
                <wp:wrapNone/>
                <wp:docPr id="69" name="Frame69"/>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 xml:space="preserve">Purchased power and fuel. </w:t>
      </w:r>
      <w:r>
        <w:rPr>
          <w:rFonts w:ascii="Arial;sans-serif" w:hAnsi="Arial;sans-serif"/>
          <w:b w:val="false"/>
          <w:color w:val="000000"/>
          <w:sz w:val="18"/>
        </w:rPr>
        <w:t>See Operating revenues above for discussion of our reportable segments and hedging strategies and for supplemental statistical data, including sales and supply sources by segment, nuclear fleet capacity factor, EFOF, capacity prices, and electricity prices.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With the exception of Calpine's natural gas activity, which is included in the Calpine segment, wholesale and retail natural gas activity, as well as other miscellaneous business activities that are not significant to overall results of operations are reported under Other and are not allocated to a segment.</w:t>
      </w:r>
    </w:p>
    <w:p>
      <w:pPr>
        <w:pStyle w:val="TextBody"/>
        <w:bidi w:val="0"/>
        <w:spacing w:lineRule="auto" w:line="288" w:before="100" w:after="180"/>
        <w:jc w:val="both"/>
        <w:rPr>
          <w:rFonts w:ascii="Arial;sans-serif" w:hAnsi="Arial;sans-serif"/>
          <w:b w:val="false"/>
          <w:color w:val="000000"/>
          <w:sz w:val="18"/>
        </w:rPr>
      </w:pPr>
      <w:r>
        <w:rPr>
          <w:rFonts w:ascii="Arial;sans-serif" w:hAnsi="Arial;sans-serif"/>
          <w:b w:val="false"/>
          <w:color w:val="000000"/>
          <w:sz w:val="18"/>
        </w:rPr>
        <w:t>For the three and six months ended June 30, 2026 compared to 2025, Purchased power and fuel expense were as follows:</w:t>
      </w:r>
    </w:p>
    <w:tbl>
      <w:tblPr>
        <w:tblW w:w="11044" w:type="dxa"/>
        <w:jc w:val="left"/>
        <w:tblInd w:w="0" w:type="dxa"/>
        <w:tblLayout w:type="fixed"/>
        <w:tblCellMar>
          <w:top w:w="28" w:type="dxa"/>
          <w:left w:w="28" w:type="dxa"/>
          <w:bottom w:w="28" w:type="dxa"/>
          <w:right w:w="28" w:type="dxa"/>
        </w:tblCellMar>
      </w:tblPr>
      <w:tblGrid>
        <w:gridCol w:w="391"/>
        <w:gridCol w:w="344"/>
        <w:gridCol w:w="346"/>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308"/>
        <w:gridCol w:w="308"/>
        <w:gridCol w:w="408"/>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306"/>
        <w:gridCol w:w="310"/>
        <w:gridCol w:w="4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Calpine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purchased power and fuel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Unrealized losses (gains)</w:t>
            </w:r>
            <w:r>
              <w:rPr>
                <w:rFonts w:ascii="Arial;sans-serif" w:hAnsi="Arial;sans-serif"/>
                <w:b w:val="false"/>
                <w:color w:val="000000"/>
                <w:sz w:val="12"/>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purchased power and fuel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 Change in unrealized losses (gains) is not a meaningful measure.</w:t>
      </w:r>
    </w:p>
    <w:p>
      <w:pPr>
        <w:pStyle w:val="TextBody"/>
        <w:bidi w:val="0"/>
        <w:spacing w:lineRule="auto" w:line="288" w:before="180" w:after="180"/>
        <w:jc w:val="both"/>
        <w:rPr/>
      </w:pPr>
      <w:r>
        <w:rPr>
          <w:rFonts w:ascii="Arial;sans-serif" w:hAnsi="Arial;sans-serif"/>
          <w:b/>
          <w:i/>
          <w:color w:val="000000"/>
          <w:sz w:val="18"/>
        </w:rPr>
        <w:t xml:space="preserve">Natural Gas Prices. </w:t>
      </w:r>
      <w:r>
        <w:rPr>
          <w:rFonts w:ascii="Arial;sans-serif" w:hAnsi="Arial;sans-serif"/>
          <w:b w:val="false"/>
          <w:color w:val="000000"/>
          <w:sz w:val="18"/>
        </w:rPr>
        <w:t>As an owner-operator of a large fleet of natural gas-fired generation facilities, the cost of our natural gas supply has a significant impact on our Purchased power and fuel expense. The following table summarizes the average daily reference price ($/MMBtu) for the periods presented in each geographic region where we have significant activity. This does not reflect prices we ultimately realized.</w:t>
      </w:r>
    </w:p>
    <w:tbl>
      <w:tblPr>
        <w:tblW w:w="10205" w:type="dxa"/>
        <w:jc w:val="left"/>
        <w:tblInd w:w="0" w:type="dxa"/>
        <w:tblLayout w:type="fixed"/>
        <w:tblCellMar>
          <w:top w:w="28" w:type="dxa"/>
          <w:left w:w="28" w:type="dxa"/>
          <w:bottom w:w="28" w:type="dxa"/>
          <w:right w:w="28" w:type="dxa"/>
        </w:tblCellMar>
      </w:tblPr>
      <w:tblGrid>
        <w:gridCol w:w="544"/>
        <w:gridCol w:w="220"/>
        <w:gridCol w:w="222"/>
        <w:gridCol w:w="211"/>
        <w:gridCol w:w="511"/>
        <w:gridCol w:w="109"/>
        <w:gridCol w:w="109"/>
        <w:gridCol w:w="109"/>
        <w:gridCol w:w="109"/>
        <w:gridCol w:w="211"/>
        <w:gridCol w:w="511"/>
        <w:gridCol w:w="109"/>
        <w:gridCol w:w="109"/>
        <w:gridCol w:w="109"/>
        <w:gridCol w:w="109"/>
        <w:gridCol w:w="211"/>
        <w:gridCol w:w="527"/>
        <w:gridCol w:w="109"/>
        <w:gridCol w:w="109"/>
        <w:gridCol w:w="109"/>
        <w:gridCol w:w="109"/>
        <w:gridCol w:w="262"/>
        <w:gridCol w:w="264"/>
        <w:gridCol w:w="408"/>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62"/>
        <w:gridCol w:w="264"/>
        <w:gridCol w:w="468"/>
      </w:tblGrid>
      <w:tr>
        <w:trPr/>
        <w:tc>
          <w:tcPr>
            <w:tcW w:w="54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Location</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Henry Hub</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Transco Zone 6</w:t>
            </w:r>
            <w:r>
              <w:rPr>
                <w:rFonts w:ascii="Arial;sans-serif" w:hAnsi="Arial;sans-serif"/>
                <w:b w:val="false"/>
                <w:color w:val="000000"/>
                <w:sz w:val="12"/>
              </w:rPr>
              <w:t xml:space="preserve">(a)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Houston Ship Channel</w:t>
            </w:r>
            <w:r>
              <w:rPr>
                <w:rFonts w:ascii="Arial;sans-serif" w:hAnsi="Arial;sans-serif"/>
                <w:b w:val="false"/>
                <w:color w:val="000000"/>
                <w:sz w:val="12"/>
              </w:rPr>
              <w:t>(b)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PG&amp;E Citygate</w:t>
            </w:r>
            <w:r>
              <w:rPr>
                <w:rFonts w:ascii="Arial;sans-serif" w:hAnsi="Arial;sans-serif"/>
                <w:b w:val="false"/>
                <w:color w:val="000000"/>
                <w:sz w:val="12"/>
              </w:rPr>
              <w:t>(c)</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(44.8)</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(44.5)</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Algonquin Citygate</w:t>
            </w:r>
            <w:r>
              <w:rPr>
                <w:rFonts w:ascii="Arial;sans-serif" w:hAnsi="Arial;sans-serif"/>
                <w:b w:val="false"/>
                <w:color w:val="000000"/>
                <w:sz w:val="12"/>
              </w:rPr>
              <w:t>(d)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(a)Transcontinental Gas pipeline located in Mid-Atlantic region.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(b)Houston-area pipeline and industrial network located in ERCOT region.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(c)Pacific Gas &amp; Electric Company virtual trading point located in West region.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(d)Algonquin Gas Transmission physical delivery point located in New England region.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08025"/>
                <wp:effectExtent l="0" t="0" r="0" b="0"/>
                <wp:wrapNone/>
                <wp:docPr id="70" name="Frame70"/>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val="false"/>
          <w:color w:val="000000"/>
          <w:sz w:val="18"/>
        </w:rPr>
        <w:t xml:space="preserve">For the three and six months ended June 30, 2026 compared to 2025, changes in </w:t>
      </w:r>
      <w:r>
        <w:rPr>
          <w:rFonts w:ascii="Arial;sans-serif" w:hAnsi="Arial;sans-serif"/>
          <w:b/>
          <w:color w:val="000000"/>
          <w:sz w:val="18"/>
        </w:rPr>
        <w:t>Purchased power and fuel</w:t>
      </w:r>
      <w:r>
        <w:rPr>
          <w:color w:val="000000"/>
        </w:rPr>
        <w:t xml:space="preserve"> </w:t>
      </w:r>
      <w:r>
        <w:rPr>
          <w:rFonts w:ascii="Arial;sans-serif" w:hAnsi="Arial;sans-serif"/>
          <w:b w:val="false"/>
          <w:color w:val="000000"/>
          <w:sz w:val="18"/>
        </w:rPr>
        <w:t>expense by segment were approximately as follows:</w:t>
      </w:r>
    </w:p>
    <w:tbl>
      <w:tblPr>
        <w:tblW w:w="10205" w:type="dxa"/>
        <w:jc w:val="left"/>
        <w:tblInd w:w="0" w:type="dxa"/>
        <w:tblLayout w:type="fixed"/>
        <w:tblCellMar>
          <w:top w:w="28" w:type="dxa"/>
          <w:left w:w="28" w:type="dxa"/>
          <w:bottom w:w="28" w:type="dxa"/>
          <w:right w:w="28" w:type="dxa"/>
        </w:tblCellMar>
      </w:tblPr>
      <w:tblGrid>
        <w:gridCol w:w="406"/>
        <w:gridCol w:w="357"/>
        <w:gridCol w:w="360"/>
        <w:gridCol w:w="211"/>
        <w:gridCol w:w="406"/>
        <w:gridCol w:w="109"/>
        <w:gridCol w:w="109"/>
        <w:gridCol w:w="109"/>
        <w:gridCol w:w="109"/>
        <w:gridCol w:w="308"/>
        <w:gridCol w:w="308"/>
        <w:gridCol w:w="408"/>
        <w:gridCol w:w="109"/>
        <w:gridCol w:w="109"/>
        <w:gridCol w:w="109"/>
        <w:gridCol w:w="626"/>
        <w:gridCol w:w="569"/>
        <w:gridCol w:w="576"/>
        <w:gridCol w:w="109"/>
        <w:gridCol w:w="109"/>
        <w:gridCol w:w="109"/>
        <w:gridCol w:w="227"/>
        <w:gridCol w:w="389"/>
        <w:gridCol w:w="111"/>
        <w:gridCol w:w="109"/>
        <w:gridCol w:w="109"/>
        <w:gridCol w:w="109"/>
        <w:gridCol w:w="306"/>
        <w:gridCol w:w="310"/>
        <w:gridCol w:w="408"/>
        <w:gridCol w:w="109"/>
        <w:gridCol w:w="109"/>
        <w:gridCol w:w="109"/>
        <w:gridCol w:w="694"/>
        <w:gridCol w:w="609"/>
        <w:gridCol w:w="872"/>
      </w:tblGrid>
      <w:tr>
        <w:trPr/>
        <w:tc>
          <w:tcPr>
            <w:tcW w:w="40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Mid-Atlantic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realized economic hedges of $85 due to settled prices relative to hedged prices</w:t>
              <w:br/>
              <w:t>• favorable $65 due to financial transmission rights overfunding in 2026; partially offset by</w:t>
              <w:br/>
              <w:t>• unfavorable $60 associated with purchased power to supply load, net of generation, primarily due to higher energy prices and higher prices associated with net capacity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unfavorable $405 associated with purchased power to supply load, net of generation, primarily due to higher energy prices, higher prices associated with net capacity costs, and higher costs related to an extreme weather event in January 2026; partially offset by</w:t>
              <w:br/>
              <w:t>• favorable realized economic hedges of $275 due to settled prices relative to hedged prices</w:t>
              <w:br/>
              <w:t>• favorable $65 due to financial transmission rights overfunding in 2026</w:t>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Midwest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unfavorable $80 associated with purchased power to supply load, net of generation, primarily due to higher net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unfavorable $390 associated with purchased power to supply load, net of generation, primarily due to higher costs related to a significant weather event in January 2026 and net transmission costs</w:t>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New York</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ERCOT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no individually significant drivers</w:t>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Power Regions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$150 associated with purchased power to supply load primarily due to lower load volumes in New England, and lower load volumes and energy prices in the West</w:t>
              <w:br/>
              <w:t>• favorable $120 primarily associated with environmental product sales</w:t>
              <w:br/>
              <w:t xml:space="preserve">• favorable realized economic hedges of $55 due to settled prices relative to hedged prices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$230 associated with purchased power to supply load primarily due to lower load volumes in New England, and lower energy prices in the West</w:t>
              <w:br/>
              <w:t>• favorable $140 associated with environmental product sales and lower environmental obligations</w:t>
              <w:br/>
              <w:t>• favorable realized economic hedges of $80 due to settled prices relative to hedged prices</w:t>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Calpine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represents the purchased power and fuel associated with our Calpine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represents the purchased power and fuel associated with our Calpine segment since the date of acquisition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08025"/>
                <wp:effectExtent l="0" t="0" r="0" b="0"/>
                <wp:wrapNone/>
                <wp:docPr id="71" name="Frame71"/>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69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5"/>
        <w:gridCol w:w="380"/>
        <w:gridCol w:w="386"/>
        <w:gridCol w:w="211"/>
        <w:gridCol w:w="466"/>
        <w:gridCol w:w="109"/>
        <w:gridCol w:w="109"/>
        <w:gridCol w:w="109"/>
        <w:gridCol w:w="109"/>
        <w:gridCol w:w="266"/>
        <w:gridCol w:w="266"/>
        <w:gridCol w:w="408"/>
        <w:gridCol w:w="109"/>
        <w:gridCol w:w="109"/>
        <w:gridCol w:w="109"/>
        <w:gridCol w:w="600"/>
        <w:gridCol w:w="600"/>
        <w:gridCol w:w="608"/>
        <w:gridCol w:w="109"/>
        <w:gridCol w:w="109"/>
        <w:gridCol w:w="109"/>
        <w:gridCol w:w="211"/>
        <w:gridCol w:w="616"/>
        <w:gridCol w:w="109"/>
        <w:gridCol w:w="109"/>
        <w:gridCol w:w="109"/>
        <w:gridCol w:w="109"/>
        <w:gridCol w:w="255"/>
        <w:gridCol w:w="256"/>
        <w:gridCol w:w="408"/>
        <w:gridCol w:w="109"/>
        <w:gridCol w:w="109"/>
        <w:gridCol w:w="109"/>
        <w:gridCol w:w="577"/>
        <w:gridCol w:w="577"/>
        <w:gridCol w:w="826"/>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w:t>
              <w:br/>
              <w:t>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favorable net wholesale gas purchases of $60, inclusive of realized economic hedges, primarily due to lower gas prices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Arial;sans-serif" w:hAnsi="Arial;sans-serif"/>
                <w:b w:val="false"/>
                <w:color w:val="000000"/>
                <w:sz w:val="16"/>
              </w:rPr>
              <w:t>unfavorable net wholesale gas purchases of $115, inclusive of realized economic hedges, primarily due to higher gas prices</w:t>
              <w:br/>
              <w:t>• favorable purchases in the United Kingdom, inclusive of realized economic hedges, of $65 primarily due to lower energy prices</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Unrealized gains or losses</w:t>
            </w:r>
            <w:r>
              <w:rPr>
                <w:rFonts w:ascii="Arial;sans-serif" w:hAnsi="Arial;sans-serif"/>
                <w:b w:val="false"/>
                <w:color w:val="000000"/>
                <w:sz w:val="12"/>
              </w:rPr>
              <w:t>(a)(b)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16"/>
              </w:rPr>
              <w:t>losses on economic hedging activities of $120 in 2026 compared to gains of $81 in 2025, inclusive of Calpine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Arial;sans-serif" w:hAnsi="Arial;sans-serif"/>
                <w:b w:val="false"/>
                <w:color w:val="000000"/>
                <w:sz w:val="16"/>
              </w:rPr>
              <w:t>losses on economic hedging activities of $373 in 2026 compared to gains of $46 in 2025, inclusive of Calpine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38.0 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 Change in unrealized gains or losses is not a meaningful measure.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(b)See Note 12 — Derivative Financial Instruments of the Combined Notes to Consolidated Financial Statements for additional information on unrealized gains and losses.</w:t>
      </w:r>
    </w:p>
    <w:p>
      <w:pPr>
        <w:pStyle w:val="TextBody"/>
        <w:bidi w:val="0"/>
        <w:spacing w:lineRule="auto" w:line="288" w:before="180" w:after="180"/>
        <w:jc w:val="both"/>
        <w:rPr/>
      </w:pPr>
      <w:r>
        <w:rPr>
          <w:rFonts w:ascii="Arial;sans-serif" w:hAnsi="Arial;sans-serif"/>
          <w:b w:val="false"/>
          <w:color w:val="000000"/>
          <w:sz w:val="18"/>
        </w:rPr>
        <w:t xml:space="preserve">The changes in </w:t>
      </w:r>
      <w:r>
        <w:rPr>
          <w:rFonts w:ascii="Arial;sans-serif" w:hAnsi="Arial;sans-serif"/>
          <w:b/>
          <w:color w:val="000000"/>
          <w:sz w:val="18"/>
        </w:rPr>
        <w:t>Operating and maintenance expense</w:t>
      </w:r>
      <w:r>
        <w:rPr>
          <w:color w:val="000000"/>
        </w:rPr>
        <w:t xml:space="preserve"> </w:t>
      </w:r>
      <w:r>
        <w:rPr>
          <w:rFonts w:ascii="Arial;sans-serif" w:hAnsi="Arial;sans-serif"/>
          <w:b w:val="false"/>
          <w:color w:val="000000"/>
          <w:sz w:val="18"/>
        </w:rPr>
        <w:t>consisted of the following:</w:t>
      </w:r>
    </w:p>
    <w:tbl>
      <w:tblPr>
        <w:tblW w:w="8036" w:type="dxa"/>
        <w:jc w:val="left"/>
        <w:tblInd w:w="0" w:type="dxa"/>
        <w:tblLayout w:type="fixed"/>
        <w:tblCellMar>
          <w:top w:w="28" w:type="dxa"/>
          <w:left w:w="28" w:type="dxa"/>
          <w:bottom w:w="28" w:type="dxa"/>
          <w:right w:w="28" w:type="dxa"/>
        </w:tblCellMar>
      </w:tblPr>
      <w:tblGrid>
        <w:gridCol w:w="1397"/>
        <w:gridCol w:w="1225"/>
        <w:gridCol w:w="1233"/>
        <w:gridCol w:w="531"/>
        <w:gridCol w:w="1174"/>
        <w:gridCol w:w="274"/>
        <w:gridCol w:w="109"/>
        <w:gridCol w:w="109"/>
        <w:gridCol w:w="109"/>
        <w:gridCol w:w="476"/>
        <w:gridCol w:w="1052"/>
        <w:gridCol w:w="347"/>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 vs. 2025</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Increase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Increase (Decrease)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Labor, contracting, and materials</w:t>
            </w:r>
            <w:r>
              <w:rPr>
                <w:rFonts w:ascii="Arial;sans-serif" w:hAnsi="Arial;sans-serif"/>
                <w:b w:val="false"/>
                <w:color w:val="000000"/>
                <w:sz w:val="12"/>
              </w:rPr>
              <w:t>(a)</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Calpine merger and integration costs</w:t>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Nuclear refueling outage costs</w:t>
            </w:r>
            <w:r>
              <w:rPr>
                <w:rFonts w:ascii="Arial;sans-serif" w:hAnsi="Arial;sans-serif"/>
                <w:b w:val="false"/>
                <w:color w:val="000000"/>
                <w:sz w:val="12"/>
              </w:rPr>
              <w:t>(b)</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legal and environmental liabilities</w:t>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Decommissioning-related activities</w:t>
            </w:r>
          </w:p>
        </w:tc>
        <w:tc>
          <w:tcPr>
            <w:tcW w:w="1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Other</w:t>
            </w:r>
            <w:r>
              <w:rPr>
                <w:rFonts w:ascii="Arial;sans-serif" w:hAnsi="Arial;sans-serif"/>
                <w:b w:val="false"/>
                <w:color w:val="000000"/>
                <w:sz w:val="12"/>
              </w:rPr>
              <w:t>(c)</w:t>
            </w:r>
          </w:p>
        </w:tc>
        <w:tc>
          <w:tcPr>
            <w:tcW w:w="1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increase</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(a)Primarily reflects increased employee-related costs, including labor and other incentives, as well as higher contracting expense, driven in large part by the addition of Calpine's operations beginning in January 2026.</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the co-owned Salem and STP generating units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(c)Primarily includes administrative expenses such as information technology, regulatory fees, facilities and rentals, and insurance. The increase is driven primarily by the addition of Calpine's operations beginning in January 2026.</w:t>
      </w:r>
    </w:p>
    <w:p>
      <w:pPr>
        <w:pStyle w:val="TextBody"/>
        <w:bidi w:val="0"/>
        <w:spacing w:lineRule="auto" w:line="288" w:before="180" w:after="180"/>
        <w:jc w:val="both"/>
        <w:rPr/>
      </w:pPr>
      <w:r>
        <w:rPr>
          <w:rFonts w:ascii="Arial;sans-serif" w:hAnsi="Arial;sans-serif"/>
          <w:b/>
          <w:i/>
          <w:color w:val="000000"/>
          <w:sz w:val="18"/>
        </w:rPr>
        <w:t>Depreciation and amortization expense</w:t>
      </w:r>
      <w:r>
        <w:rPr>
          <w:color w:val="000000"/>
        </w:rPr>
        <w:t xml:space="preserve"> </w:t>
      </w:r>
      <w:r>
        <w:rPr>
          <w:rFonts w:ascii="Arial;sans-serif" w:hAnsi="Arial;sans-serif"/>
          <w:b w:val="false"/>
          <w:color w:val="000000"/>
          <w:sz w:val="18"/>
        </w:rPr>
        <w:t>increased by $189 million for the three months ended June 30, 2026 compared to the same period in 2025, and increased by $384 million for the six months ended June 30, 2026 compared to the same period in 2025, primarily due to the additional depreciation and amortization associated with assets acquired from Calpine beginning in January 2026. See Note 2 — Mergers, Acquisitions, and Dispositions of the Combined Notes to Consolidated Financial Statements for additional information.</w:t>
      </w:r>
    </w:p>
    <w:p>
      <w:pPr>
        <w:pStyle w:val="TextBody"/>
        <w:bidi w:val="0"/>
        <w:spacing w:lineRule="auto" w:line="288" w:before="180" w:after="180"/>
        <w:jc w:val="both"/>
        <w:rPr/>
      </w:pPr>
      <w:r>
        <w:rPr>
          <w:rFonts w:ascii="Arial;sans-serif" w:hAnsi="Arial;sans-serif"/>
          <w:b/>
          <w:i/>
          <w:color w:val="000000"/>
          <w:sz w:val="18"/>
        </w:rPr>
        <w:t xml:space="preserve">Interest expense, net </w:t>
      </w:r>
      <w:r>
        <w:rPr>
          <w:rFonts w:ascii="Arial;sans-serif" w:hAnsi="Arial;sans-serif"/>
          <w:b w:val="false"/>
          <w:color w:val="000000"/>
          <w:sz w:val="18"/>
        </w:rPr>
        <w:t>increased by $165 million for the three months ended June 30, 2026 compared to the same period in 2025, and increased by $272 million for the six months ended June 30, 2026 compared to the same period in 2025, primarily due to a net increase in outstanding debt as a result of the debt assumed and related financing transactions following the acquisition of Calpine in January 2026. See Note 13 — Debt and Credit Agreements of the Combined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08025"/>
                <wp:effectExtent l="0" t="0" r="0" b="0"/>
                <wp:wrapNone/>
                <wp:docPr id="72" name="Frame72"/>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pPr>
      <w:r>
        <w:rPr>
          <w:rFonts w:ascii="Arial;sans-serif" w:hAnsi="Arial;sans-serif"/>
          <w:b/>
          <w:i/>
          <w:color w:val="000000"/>
          <w:sz w:val="18"/>
        </w:rPr>
        <w:t>Other, net</w:t>
      </w:r>
      <w:r>
        <w:rPr>
          <w:color w:val="000000"/>
        </w:rPr>
        <w:t xml:space="preserve"> </w:t>
      </w:r>
      <w:r>
        <w:rPr>
          <w:rFonts w:ascii="Arial;sans-serif" w:hAnsi="Arial;sans-serif"/>
          <w:b w:val="false"/>
          <w:color w:val="000000"/>
          <w:sz w:val="18"/>
        </w:rPr>
        <w:t>was favorable for the three and six months ended June 30, 2026 compared to the same period in 2025,</w:t>
      </w:r>
      <w:r>
        <w:rPr>
          <w:color w:val="000000"/>
          <w:shd w:fill="FFFFFF" w:val="clear"/>
        </w:rPr>
        <w:t xml:space="preserve"> </w:t>
      </w:r>
      <w:r>
        <w:rPr>
          <w:rFonts w:ascii="Arial;sans-serif" w:hAnsi="Arial;sans-serif"/>
          <w:b w:val="false"/>
          <w:color w:val="000000"/>
          <w:sz w:val="18"/>
        </w:rPr>
        <w:t>due to activity described in the table below:</w:t>
      </w:r>
    </w:p>
    <w:tbl>
      <w:tblPr>
        <w:tblW w:w="8868" w:type="dxa"/>
        <w:jc w:val="left"/>
        <w:tblInd w:w="0" w:type="dxa"/>
        <w:tblLayout w:type="fixed"/>
        <w:tblCellMar>
          <w:top w:w="28" w:type="dxa"/>
          <w:left w:w="28" w:type="dxa"/>
          <w:bottom w:w="28" w:type="dxa"/>
          <w:right w:w="28" w:type="dxa"/>
        </w:tblCellMar>
      </w:tblPr>
      <w:tblGrid>
        <w:gridCol w:w="1675"/>
        <w:gridCol w:w="1470"/>
        <w:gridCol w:w="1475"/>
        <w:gridCol w:w="220"/>
        <w:gridCol w:w="486"/>
        <w:gridCol w:w="113"/>
        <w:gridCol w:w="113"/>
        <w:gridCol w:w="113"/>
        <w:gridCol w:w="113"/>
        <w:gridCol w:w="220"/>
        <w:gridCol w:w="486"/>
        <w:gridCol w:w="113"/>
        <w:gridCol w:w="109"/>
        <w:gridCol w:w="109"/>
        <w:gridCol w:w="109"/>
        <w:gridCol w:w="211"/>
        <w:gridCol w:w="466"/>
        <w:gridCol w:w="109"/>
        <w:gridCol w:w="109"/>
        <w:gridCol w:w="109"/>
        <w:gridCol w:w="109"/>
        <w:gridCol w:w="211"/>
        <w:gridCol w:w="466"/>
        <w:gridCol w:w="154"/>
      </w:tblGrid>
      <w:tr>
        <w:trPr/>
        <w:tc>
          <w:tcPr>
            <w:tcW w:w="167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Income (Deductions)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Three Months Ended 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Decommissioning-related activities</w:t>
            </w:r>
            <w:r>
              <w:rPr>
                <w:rFonts w:ascii="Arial;sans-serif" w:hAnsi="Arial;sans-serif"/>
                <w:b w:val="false"/>
                <w:color w:val="000000"/>
                <w:sz w:val="12"/>
              </w:rPr>
              <w:t>(a)</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unrealized gains (losses) from equity investments</w:t>
            </w:r>
            <w:r>
              <w:rPr>
                <w:rFonts w:ascii="Arial;sans-serif" w:hAnsi="Arial;sans-serif"/>
                <w:b w:val="false"/>
                <w:color w:val="000000"/>
                <w:sz w:val="12"/>
              </w:rPr>
              <w:t>(b)</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(a)Includes net realized and net unrealized gains (losses) on NDT fund investments, the elimination of decommissioning-related activities, and the elimination of income taxes related to all NDT fund activity for the Regulatory Agreement Units. See Note 9 — Asset Retirement Obligations and Note 18 — Supplemental Financial Information of the Combined Notes to Consolidated Financial Statements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unrealized gains (losses) resulting from an equity investment in a publicly traded company. We record the fair value of this investment in Other deferred debits and other assets in the Consolidated Balance Sheets based on quoted market price of the stock.</w:t>
      </w:r>
    </w:p>
    <w:p>
      <w:pPr>
        <w:pStyle w:val="TextBody"/>
        <w:bidi w:val="0"/>
        <w:spacing w:lineRule="auto" w:line="288" w:before="180" w:after="180"/>
        <w:jc w:val="both"/>
        <w:rPr/>
      </w:pPr>
      <w:r>
        <w:rPr>
          <w:rFonts w:ascii="Arial;sans-serif" w:hAnsi="Arial;sans-serif"/>
          <w:b/>
          <w:i/>
          <w:color w:val="000000"/>
          <w:sz w:val="18"/>
        </w:rPr>
        <w:t>Effective income tax rates</w:t>
      </w:r>
      <w:r>
        <w:rPr>
          <w:color w:val="000000"/>
        </w:rPr>
        <w:t xml:space="preserve"> </w:t>
      </w:r>
      <w:r>
        <w:rPr>
          <w:rFonts w:ascii="Arial;sans-serif" w:hAnsi="Arial;sans-serif"/>
          <w:b w:val="false"/>
          <w:color w:val="000000"/>
          <w:sz w:val="18"/>
        </w:rPr>
        <w:t>were 44.2% and 34.6% for the three months ended June 30, 2026 and 2025, respectively, and 30.7% and 32.4% for the six months ended June 30, 2026 and 2025, respectively. The increase in effective tax rate for the three months ended was primarily due to higher qualified NDT fund income in the second quarter of 2026 which is taxed at a higher rate. The decrease in effective tax rate for the six months ended was primarily due to proportionally lower qualified NDT fund income in 2026 which is taxed at a higher rate as well as a decrease in share-based payment awards. See Note 10 — Income Taxes of the Combined Notes to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All results included throughout the liquidity and capital resources section are presented on a GAAP basis.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Our operating and capital expenditures requirements are provided by internally generated cash flows from operations as well as funds from external sources in the capital markets and through bank borrowings. Our business is capital intensive and requires considerable capital resources. Annually, we evaluate our financing plan and credit line sizing, focusing on maintaining our investment grade ratings while meeting our cash needs to fund capital requirements, including construction expenditures, retire debt, pay dividends, fund pension and OPEB obligations, and invest in new and existing ventures, such as our acquisition of Calpine and planned restart of Crane. A broad spectrum of financing alternatives beyond the core financing options can be used to meet our needs and fund growth, including monetizing assets in the portfolio via project financing, asset sales, and the use of other financing structures (e.g., issuing equity, joint ventures, minority partners, etc.). Our access to external financing on reasonable terms depends on our credit ratings and current overall capital market business conditions. If these conditions deteriorate to the extent that we no longer have access to the capital markets at reasonable terms, we have access to credit facilities with aggregate bank commitments of $14.5 billion. We utilize our credit facilities to support our commercial paper programs, provide for other short-term borrowings and to issue letters of credit. See the “Credit Matters and Cash Requirements” section below for additional information. We expect cash flows to be sufficient to meet operating expenses, financing costs, and capital expenditure requirements. See Note 13 — Debt and Credit Agreements of the Combined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8025"/>
                <wp:effectExtent l="0" t="0" r="0" b="0"/>
                <wp:wrapNone/>
                <wp:docPr id="73" name="Frame73"/>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Cash Flow Activities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summarizes our cash flow activities for the six months ended June 30, 2026 and 2025, respectively:</w:t>
      </w:r>
    </w:p>
    <w:tbl>
      <w:tblPr>
        <w:tblW w:w="9251" w:type="dxa"/>
        <w:jc w:val="left"/>
        <w:tblInd w:w="0" w:type="dxa"/>
        <w:tblLayout w:type="fixed"/>
        <w:tblCellMar>
          <w:top w:w="28" w:type="dxa"/>
          <w:left w:w="28" w:type="dxa"/>
          <w:bottom w:w="28" w:type="dxa"/>
          <w:right w:w="28" w:type="dxa"/>
        </w:tblCellMar>
      </w:tblPr>
      <w:tblGrid>
        <w:gridCol w:w="2107"/>
        <w:gridCol w:w="1851"/>
        <w:gridCol w:w="1861"/>
        <w:gridCol w:w="211"/>
        <w:gridCol w:w="616"/>
        <w:gridCol w:w="109"/>
        <w:gridCol w:w="109"/>
        <w:gridCol w:w="109"/>
        <w:gridCol w:w="109"/>
        <w:gridCol w:w="211"/>
        <w:gridCol w:w="616"/>
        <w:gridCol w:w="109"/>
        <w:gridCol w:w="109"/>
        <w:gridCol w:w="109"/>
        <w:gridCol w:w="109"/>
        <w:gridCol w:w="211"/>
        <w:gridCol w:w="541"/>
        <w:gridCol w:w="154"/>
      </w:tblGrid>
      <w:tr>
        <w:trPr/>
        <w:tc>
          <w:tcPr>
            <w:tcW w:w="2107"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Change</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restricted cash, and cash equivalents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(used in):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increase (decrease) in cash, restricted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restricted 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Net Cash Provided By (Used In) Operating Activities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Cash provided by operating activities was $1,553 million and $1,584 million for the six months ended June 30, 2026 and 2025, respectively. Changes in our cash flows from operations were generally consistent with changes in results of operations, as adjusted for changes in working capital in the normal course of business. Included in net cash provided by operating activities for the six months ended June 30, 2026, are refunds to state programs associated with nuclear PTCs. See Note 6 — Government Assistance of the Combined Notes to Consolidated Financial Statements for additional information. </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Net Cash Provided By (Used In) Investing Activities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Cash used in investing activities was ($5,101) million and ($1,758) million for the six months ended June 30, 2026 and 2025, respectively. The change is primarily related to cash paid, net of cash acquired, for the Calpine acquisition and an increase in capital expenditures related to the planned restart of Crane, inclusion of Calpine, and co-location infrastructure. See Note 2 — Mergers, Acquisitions, and Dispositions of the Combined Notes to Consolidated Financial Statements for additional information. </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Net Cash Provided By (Used In) Financing Activities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Cash provided by financing activities was $877 million for the six months ended June 30, 2026, compared to cash used in financing activities of ($893) million for the six months ended June 30, 2025. The change primarily relates to long-term debt and changes in short-term borrowings. Debt issuances and redemptions or repayments vary each year. For the six months ended June 30, 2026, these activities reflect the impact of debt transactions associated with the acquisition of Calpine. The remaining change is related to repurchases of common stock. See Note 13 — Debt and Credit Agreements and Note 16 — Shareholders' Equity of the Combined Notes to Consolidated Financial Statements for additional information.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Quarterly dividends declared by our Board of Directors during 2026 were as follows:</w:t>
      </w:r>
    </w:p>
    <w:tbl>
      <w:tblPr>
        <w:tblW w:w="9660" w:type="dxa"/>
        <w:jc w:val="left"/>
        <w:tblInd w:w="0" w:type="dxa"/>
        <w:tblLayout w:type="fixed"/>
        <w:tblCellMar>
          <w:top w:w="28" w:type="dxa"/>
          <w:left w:w="28" w:type="dxa"/>
          <w:bottom w:w="28" w:type="dxa"/>
          <w:right w:w="28" w:type="dxa"/>
        </w:tblCellMar>
      </w:tblPr>
      <w:tblGrid>
        <w:gridCol w:w="748"/>
        <w:gridCol w:w="655"/>
        <w:gridCol w:w="667"/>
        <w:gridCol w:w="109"/>
        <w:gridCol w:w="109"/>
        <w:gridCol w:w="109"/>
        <w:gridCol w:w="534"/>
        <w:gridCol w:w="534"/>
        <w:gridCol w:w="537"/>
        <w:gridCol w:w="109"/>
        <w:gridCol w:w="109"/>
        <w:gridCol w:w="109"/>
        <w:gridCol w:w="624"/>
        <w:gridCol w:w="624"/>
        <w:gridCol w:w="626"/>
        <w:gridCol w:w="109"/>
        <w:gridCol w:w="109"/>
        <w:gridCol w:w="109"/>
        <w:gridCol w:w="554"/>
        <w:gridCol w:w="554"/>
        <w:gridCol w:w="556"/>
        <w:gridCol w:w="109"/>
        <w:gridCol w:w="109"/>
        <w:gridCol w:w="109"/>
        <w:gridCol w:w="221"/>
        <w:gridCol w:w="757"/>
        <w:gridCol w:w="161"/>
      </w:tblGrid>
      <w:tr>
        <w:trPr/>
        <w:tc>
          <w:tcPr>
            <w:tcW w:w="74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Shareholder of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Dividend Payable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Cash per Share</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First Quarter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February 20,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March 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March 20,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0.4265 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Second Quarter of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April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May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June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0.4265 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Third Quarter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August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August 18,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September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0.4265 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08025"/>
                <wp:effectExtent l="0" t="0" r="0" b="0"/>
                <wp:wrapNone/>
                <wp:docPr id="74" name="Frame74"/>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Credit Matters and Cash Requirements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fund liquidity needs for capital expenditures, working capital, energy hedging and other financial commitments through cash flows from operations, public debt offerings, commercial paper markets and large, diversified credit facilities. As of June 30, 2026, we have access to facilities with aggregate bank commitments of $14.5 billion. See Note 13 — Debt and Credit Agreements of the Combined Notes to Consolidated Financial Statements for additional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had access to the commercial paper markets and had availability under our revolving credit facilities during the second quarter of 2026 to fund our short-term liquidity needs, when necessary. We routinely review the sufficiency of our liquidity position, including appropriate sizing of credit facility commitments, by performing various stress test scenarios, such as commodity price movements, increases in margin-related transactions, changes in hedging levels, and the impacts of hypothetical credit downgrades. We closely monitor events in the financial markets and the financial institutions associated with the credit facilities, including monitoring credit ratings and outlooks, credit default swap levels, capital raising, and merger activity. See PART I, ITEM 1A. RISK FACTORS of our 2025 Form 10-K for additional information regarding the effects of uncertainty in the capital and credit markets.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believe our cash flow from operating activities, access to credit markets and our credit facilities provide sufficient liquidity to support the estimated future cash requirements discussed below.</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Security Ratings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Our access to the capital markets, including the commercial paper market, and our financing costs in those markets, may depend on our securities ratings. A loss of investment grade credit rating would have required a three-notch downgrade by S&amp;P or Moody's from their current levels as of June 30, 2026 of BBB+ and Baa1, to BB+ and Ba1 or below, respectively. As of June 30, 2026, we had $7.0 billion of available capacity under our credit facilities and $0.7 billion of cash on hand. In the event of a credit downgrade below investment grade and a resulting requirement to provide incremental collateral exceeding available capacity under our credit facilities and cash on hand, we would be required to access additional liquidity through the capital markets. Our borrowings are not subject to default or prepayment as a result of a downgrade of our securities, although such a downgrade could increase fees and interest charges under our credit agreements. Our credit ratings were affirmed by Moody’s and S&amp;P in January 2026 following the completion of the acquisition of Calpine.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If we had lost our investment grade credit ratings as of June 30, 2026, we would have been required to provide incremental collateral estimated to be approximately $3.4 billion to meet collateral obligations for derivatives, non-derivatives, NPNS, and applicable payables and receivables, net of the contractual right of offset under master netting agreements.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See Note 12 — Derivative Financial Instruments and Note 13 — Debt and Credit Agreements of the Combined Notes to Consolidated Financial Statements for additional information.</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Pension and Other Postretirement Benefits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consider various factors when making qualified pension funding decisions, including actuarially-determined minimum contribution requirements under ERISA, contributions required to avoid benefit restrictions and at-risk status as defined by the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contributions below reflect a funding strategy to make annual contributions to offset the growth of the liability. Based on this funding strategy and current market conditions, which are both subject to change, our annual qualified pension contribution was made in February 2026 for $161 million. Unlike the qualified pension plans, our non-qualified plans are not subject to statutory minimum contribution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08025"/>
                <wp:effectExtent l="0" t="0" r="0" b="0"/>
                <wp:wrapNone/>
                <wp:docPr id="75" name="Frame75"/>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OPEB plans are also not subject to statutory minimum contribution requirements, though we have funded a portion of our plans. Annually, we evaluate whether additional funding for those plans is needed. For our funded OPEB plans, we consider several factors in determining the level of our contributions, including liabilities management and levels of benefit claims paid. The estimated benefit payments to the non-qualified pension plans in 2026 are approximately $25 million and the planned contributions to the OPEB plans, including estimated benefit payments to unfunded plans, are $64 million. Expected contributions in 2026 or future years could be affected by adjustments in our pension and OPEB funding strategy, market conditions, or pension regulation changes. Refer to ITEM 7. MANAGEMENT'S DISCUSSION AND ANALYSIS OF FINANCIAL CONDITION AND RESULTS OF OPERATIONS - Liquidity and Capital Resources of our 2025 Form 10-K for additional information on pension and other postretirement benefits.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Cash Requirements for Other Financial Commitments</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In connection with the acquisition of Calpine in January 2026, we assumed approximately $3 billion of projected cash payments under existing financial commitments with fixed or minimum payments required. These commitments exclude future cash payments for debt service on assumed debt as much of the debt was refinanced or paid off following the acquisition. See Note 13 — Debt and Credit Agreements of the Combined Notes to Consolidated Financial Statements for additional information. Other than as described above and elsewhere in this Quarterly Report on Form 10-Q, there have been no material changes to the cash requirements from contractual and other obligations disclosed in our 2025 Annual Report on Form 10-K. Refer to ITEM 7. MANAGEMENT'S DISCUSSION AND ANALYSIS OF FINANCIAL CONDITION AND RESULTS OF OPERATIONS - Liquidity and Capital Resources of our 2025 Form 10-K for additional information on our cash requirements for financial commitments. </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Accounts Receivable Facilities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have an accounts receivable financing facility that provides us access to revolving loans from a number of financial institutions secured by certain accounts receivables. As a result of our acquisition of Calpine in January 2026, we assumed Calpine's accounts receivable sales program which allows for the sale of certain Calpine receivables at a nominal discount. See Note 7 — Accounts Receivable and Note 13 — Debt and Credit Agreements of the Combined Notes to Consolidated Financial Statements for additional information.</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Project Financing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Project financing is based upon a financial structure in which project debt is paid back from the cash generated by a specific asset or portfolio of assets. Borrowings under these agreements are secured by the assets and equity of each respective project. If a project financing entity does not maintain compliance with its specific debt covenants, there could be a requirement to accelerate repayment of the associated debt or other project-related borrowings earlier than the stated maturity dates. In these instances, if such repayment were not satisfied, or restructured, the lenders or security holders would generally have rights to foreclose against the project-specific assets and related collateral. The potential requirement to repay the debt or other borrowings earlier than otherwise anticipated could lead to impairments due to a higher likelihood of disposing of the respective project-specific assets significantly before the end of their useful lives. As a result of our acquisition of Calpine in January 2026, we assumed various project financing arrangements. See Note 16 — Debt and Credit Agreements of our 2025 Form 10-K and Note 13 — Debt and Credit Agreements of the Combined Notes to Consolidated Financial Statements for additional information on project finance credit facilities and nonrecourse debt.</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Credit Facilities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meet our short-term liquidity requirements primarily through the issuance of commercial paper. We may use our credit facilities for general corporate purposes, including meeting short-term funding requirements and the issuance of letters of credit. We assumed various credit facilities as part of the acquisition of Calpine. See Note 13 — Debt and Credit Agreements of the Combined Notes to Consolidated Financial Statements for additional information on our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08025"/>
                <wp:effectExtent l="0" t="0" r="0" b="0"/>
                <wp:wrapNone/>
                <wp:docPr id="76" name="Frame76"/>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NRC Minimum Funding Requirements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NRC regulations require that licensees of nuclear generating facilities demonstrate reasonable assurance that sufficient funds will be available in certain minimum amounts for radiological decommissioning of the facility. These NRC minimum funding levels are typically based upon the assumption that decommissioning activities will commence after the end of the current licensed life of each unit. If a unit fails the NRC minimum funding test, then the plant’s owners or parent companies would be required to take steps, such as providing financial guarantees through surety bonds, letters of credit, or parent company guarantees or making additional cash contributions to the NDT fund to ensure sufficient funds are available. See Note 9 — Asset Retirement Obligations of the Combined Notes to Consolidated Financial Statements for additional information regarding the latest funding status report filed with the NRC.</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of June 30, 2026, the Crane NDT is fully funded under the SAFSTOR scenario that is the planned decommissioning option, as described in the Crane PSDAR filed with the NRC in April 2019. We will continue to file Crane's decommissioning funding status with the NRC annually until restart, at which point we will file decommissioning funding status reports in accordance with applicable NRC requirements. Additionally, as of June 30, 2026, we have adequate NDT funds for the remaining radiological decommissioning costs at Zion Station related to the Independent Spent Fuel Storage Installation. Decommissioning costs other than radiological may require funding from us. See Liquidity and Capital Resources — NRC Minimum Funding Requirements of our 2025 Form 10-K for information regarding the risk of additional financial assurance for shutdown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30" w:type="dxa"/>
        <w:jc w:val="center"/>
        <w:tblInd w:w="0" w:type="dxa"/>
        <w:tblLayout w:type="fixed"/>
        <w:tblCellMar>
          <w:top w:w="28" w:type="dxa"/>
          <w:left w:w="28" w:type="dxa"/>
          <w:bottom w:w="28" w:type="dxa"/>
          <w:right w:w="28" w:type="dxa"/>
        </w:tblCellMar>
      </w:tblPr>
      <w:tblGrid>
        <w:gridCol w:w="266"/>
        <w:gridCol w:w="234"/>
        <w:gridCol w:w="235"/>
        <w:gridCol w:w="1903"/>
        <w:gridCol w:w="1903"/>
        <w:gridCol w:w="268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3.</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QUANTITATIVE AND QUALITATIVE DISCLOSURES ABOUT MARKET RISK</w:t>
            </w:r>
          </w:p>
        </w:tc>
      </w:tr>
    </w:tbl>
    <w:p>
      <w:pPr>
        <w:pStyle w:val="TextBody"/>
        <w:bidi w:val="0"/>
        <w:spacing w:lineRule="auto" w:line="288" w:before="80" w:after="80"/>
        <w:jc w:val="center"/>
        <w:rPr>
          <w:rFonts w:ascii="Arial;sans-serif" w:hAnsi="Arial;sans-serif"/>
          <w:b w:val="false"/>
          <w:color w:val="000000"/>
          <w:sz w:val="18"/>
        </w:rPr>
      </w:pPr>
      <w:r>
        <w:rPr>
          <w:rFonts w:ascii="Arial;sans-serif" w:hAnsi="Arial;sans-serif"/>
          <w:b w:val="false"/>
          <w:color w:val="000000"/>
          <w:sz w:val="18"/>
        </w:rPr>
        <w:t>(Dollars in millions, unless otherwise noted)</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are exposed to market risks associated with adverse changes in commodity prices, counterparty credit, interest rates, and equity prices. We manage these risks through risk management policies and objectives for risk assessment, control and valuation, counterparty credit approval, and the monitoring and reporting of risk exposures. The Executive Committee and the Audit and Risk Committee of the Board of Directors have oversight responsibilities for risk management. The following discussion serves as an update to ITEM 7A — QUANTITATIVE AND QUALITATIVE DISCLOSURES ABOUT MARKET RISK of our 2025 Annual Report on Form 10-K incorporated herein by reference.</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Commodity Price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Commodity price risk is associated with price movements resulting from changes in supply and demand, fuel costs, market liquidity, weather conditions, governmental, regulatory and environmental policies, and other factors. To the extent the total amount of energy we produce or procure differs from the amount of energy we have contracted to sell, we are exposed to market fluctuations in commodity prices. We seek to mitigate our commodity price risk through the sale and purchase of electricity, natural gas and oil, and other commodities.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Electricity available from our owned or contracted generation supply in excess of our obligations to customers is sold into the wholesale markets. To reduce commodity price risk caused by market fluctuations, we enter into non-derivative contracts as well as derivative contracts, including swaps, futures, forwards, and options, with approved counterparties to hedge anticipated exposures in locations and periods where our load serving activities do not naturally offset existing generation portfolio risk. Portfolio hedging activities are generally concentrated in the prompt three years, when customer demand and market liquidity enable effective price risk mitigation. We expect the settlement of the majority of our economic hedges will occur during 2026 through 2028. We also enter into transactions that further optimize the economic benefits of our overall portfolio.</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In general, increases and decreases in forward market prices have a positive and negative impact, respectively, on owned and contracted generation positions that have not been hedged. Beginning in 2024, our existing nuclear fleet is eligible for a nuclear PTC, an important tool in managing commodity price risk for each nuclear unit not already receiving state support. The nuclear PTC provides increasing levels of support as unit revenues decline below levels established in the IRA and is further adjusted for inflation annually through the duration of the program based on the GDP price deflator for the preceding calendar year. See Note 6 — Government Assistance of the Combined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08025"/>
                <wp:effectExtent l="0" t="0" r="0" b="0"/>
                <wp:wrapNone/>
                <wp:docPr id="77" name="Frame77"/>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forecasted market price risk exposure is the risk of a change in the value of unhedged positions. The forecasted market price risk exposure as of June 30, 2026 for our portfolio associated with a hypothetical $10/MWh reduction in the annual average around-the-clock energy price and $5/MWh reduction in around-the-clock spark spread results in an impact to earnings that is not material for 2026 and 2027. See Note 12 — Derivative Financial Instruments of the Combined Notes to Consolidated Financial Statements for additional information.</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Fuel Procurement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We procure natural gas through long-term and short-term contracts, and spot-market purchases. We also enter into natural gas transportation and storage contracts that allow us to source reliable and cost-effective natural gas for our fleet and to take advantage of favorable market pricing, regardless of when the gas is used in our operations. Fuel oil inventories are managed so that, in the winter months, sufficient volumes of fuel are available in the event of extreme weather conditions and during the remaining months to take advantage of favorable market pricing.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Nuclear fuel is obtained predominantly through long-term contracts for uranium concentrates, conversion services, enrichment services, (or a combination thereof) and fabrication services, including contracts sourced from Russia. The supply markets for uranium concentrates and certain nuclear fuel services are subject to price fluctuations and availability restrictions. Supply market conditions may make our procurement contracts subject to credit risk related to the potential non-performance of counterparties to deliver the contracted commodity or service at the contracted prices. We engage a diverse set of suppliers to secure the nuclear fuel needed to continue to operate our nuclear fleet long-term. Approximately 30% of our uranium concentrate requirements for the remainder of 2026 through 2031 are supplied by three suppliers. To-date, we have not experienced any counterparty credit risk associated with these suppliers stemming from the Russia and Ukraine conflict. In the event of non-performance by these or other suppliers, we believe that replacement uranium concentrate can be obtained, although at prices that may be unfavorable when compared to the prices under the current supply agreements. Geopolitical developments, including the Russia and Ukraine conflict and United States, United Kingdom, European Union, and Canadian sanctions against Russia, have the potential to impact delivery from multiple suppliers in the international uranium processing industry. Non-performance by these counterparties could have a material adverse impact on our consolidated financial statements. See ITEM 2. MANAGEMENT'S DISCUSSION AND ANALYSIS OF FINANCIAL CONDITION AND RESULTS OF OPERATIONS — Other Key Business Drivers for additional information on the Russia and Ukraine conflict.</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Commodity Derivative Activity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detail on changes in our commodity derivative contract net assets (liabilities) balance sheet position from December 31, 2025 to June 30, 2026. This table incorporates the unrealized gains and losses that are immediately recorded in earnings. This table excludes all NPNS contracts. See Note 12 — Derivative Financial Instruments of the Combined Notes to Consolidated Financial Statements for additional information on the balance sheet classification of the commodity derivative contract net assets (liabilities) recorded as of June 30, 2026 and December 31, 2025.</w:t>
      </w:r>
    </w:p>
    <w:tbl>
      <w:tblPr>
        <w:tblW w:w="8015" w:type="dxa"/>
        <w:jc w:val="center"/>
        <w:tblInd w:w="0" w:type="dxa"/>
        <w:tblLayout w:type="fixed"/>
        <w:tblCellMar>
          <w:top w:w="28" w:type="dxa"/>
          <w:left w:w="28" w:type="dxa"/>
          <w:bottom w:w="28" w:type="dxa"/>
          <w:right w:w="28" w:type="dxa"/>
        </w:tblCellMar>
      </w:tblPr>
      <w:tblGrid>
        <w:gridCol w:w="2546"/>
        <w:gridCol w:w="2239"/>
        <w:gridCol w:w="2249"/>
        <w:gridCol w:w="211"/>
        <w:gridCol w:w="616"/>
        <w:gridCol w:w="154"/>
      </w:tblGrid>
      <w:tr>
        <w:trPr/>
        <w:tc>
          <w:tcPr>
            <w:tcW w:w="2546"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Balance as of December 31, 2025</w:t>
            </w:r>
            <w:r>
              <w:rPr>
                <w:rFonts w:ascii="Arial;sans-serif" w:hAnsi="Arial;sans-serif"/>
                <w:b w:val="false"/>
                <w:color w:val="000000"/>
                <w:sz w:val="12"/>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change in fair value of contracts recorded in results of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Reclassification to realized at settlement of contracts recorded in results of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allocated collateral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Contracts acquired at acquisition date</w:t>
            </w:r>
            <w:r>
              <w:rPr>
                <w:rFonts w:ascii="Arial;sans-serif" w:hAnsi="Arial;sans-serif"/>
                <w:b w:val="false"/>
                <w:color w:val="000000"/>
                <w:sz w:val="12"/>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Amortization of acquired contracts</w:t>
            </w:r>
            <w:r>
              <w:rPr>
                <w:rFonts w:ascii="Arial;sans-serif" w:hAnsi="Arial;sans-serif"/>
                <w:b w:val="false"/>
                <w:color w:val="000000"/>
                <w:sz w:val="12"/>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option premium paid (received)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Option premium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Upfront payments and amortizations</w:t>
            </w:r>
            <w:r>
              <w:rPr>
                <w:rFonts w:ascii="Arial;sans-serif" w:hAnsi="Arial;sans-serif"/>
                <w:b w:val="false"/>
                <w:color w:val="000000"/>
                <w:sz w:val="12"/>
              </w:rPr>
              <w:t>(c)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Balance as of June 30, 2026</w:t>
            </w:r>
            <w:r>
              <w:rPr>
                <w:rFonts w:ascii="Arial;sans-serif" w:hAnsi="Arial;sans-serif"/>
                <w:b w:val="false"/>
                <w:color w:val="000000"/>
                <w:sz w:val="12"/>
              </w:rPr>
              <w:t>(a)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(a)Amounts are shown net of collateral paid to and received from counterparties.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(b)Includes amounts related to contracts acquired as part of the Calpine acquisition in January 2026. See Note 2 — Mergers, Acquisitions, and Dispositions of the Combined Notes to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08025"/>
                <wp:effectExtent l="0" t="0" r="0" b="0"/>
                <wp:wrapNone/>
                <wp:docPr id="78" name="Frame78"/>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76</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(c)Includes derivative contracts acquired or sold through upfront payments or receipts of cash, excluding option premiums, and the associated amortizations.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Fair Values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presents maturity and source of fair value for commodity derivative contract net assets (liabilities). See Note 14 — Fair Value of Financial Assets and Liabilities of the Combined Notes to Consolidated Financial Statements for additional information regarding fair value measurements and the fair value hierarchy.</w:t>
      </w:r>
    </w:p>
    <w:tbl>
      <w:tblPr>
        <w:tblW w:w="10205" w:type="dxa"/>
        <w:jc w:val="center"/>
        <w:tblInd w:w="0" w:type="dxa"/>
        <w:tblLayout w:type="fixed"/>
        <w:tblCellMar>
          <w:top w:w="28" w:type="dxa"/>
          <w:left w:w="28" w:type="dxa"/>
          <w:bottom w:w="28" w:type="dxa"/>
          <w:right w:w="28" w:type="dxa"/>
        </w:tblCellMar>
      </w:tblPr>
      <w:tblGrid>
        <w:gridCol w:w="878"/>
        <w:gridCol w:w="757"/>
        <w:gridCol w:w="759"/>
        <w:gridCol w:w="211"/>
        <w:gridCol w:w="466"/>
        <w:gridCol w:w="109"/>
        <w:gridCol w:w="109"/>
        <w:gridCol w:w="109"/>
        <w:gridCol w:w="109"/>
        <w:gridCol w:w="211"/>
        <w:gridCol w:w="503"/>
        <w:gridCol w:w="109"/>
        <w:gridCol w:w="109"/>
        <w:gridCol w:w="109"/>
        <w:gridCol w:w="109"/>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50"/>
        <w:gridCol w:w="553"/>
        <w:gridCol w:w="129"/>
        <w:gridCol w:w="109"/>
        <w:gridCol w:w="109"/>
        <w:gridCol w:w="109"/>
        <w:gridCol w:w="225"/>
        <w:gridCol w:w="660"/>
        <w:gridCol w:w="170"/>
      </w:tblGrid>
      <w:tr>
        <w:trPr/>
        <w:tc>
          <w:tcPr>
            <w:tcW w:w="87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Maturities Within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Total 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2031 and Beyond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4"/>
              </w:rPr>
              <w:t>Commodity derivative contracts</w:t>
            </w:r>
            <w:r>
              <w:rPr>
                <w:rFonts w:ascii="Arial;sans-serif" w:hAnsi="Arial;sans-serif"/>
                <w:b/>
                <w:color w:val="000000"/>
                <w:sz w:val="9"/>
              </w:rPr>
              <w:t>(a)</w:t>
            </w:r>
            <w:r>
              <w:rPr>
                <w:rFonts w:ascii="Arial;sans-serif" w:hAnsi="Arial;sans-serif"/>
                <w:b/>
                <w:color w:val="000000"/>
                <w:sz w:val="14"/>
              </w:rPr>
              <w: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Actively quoted prices (Level 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Prices provided by external sources (Level 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Prices based on model or other valuation methods (Level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(a)Amounts are shown net of collateral paid to and received from counterparties (and offset against derivative assets and liabilities) of $2,283 million at June 30, 2026.</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Credit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We would be exposed to credit-related losses in the event of non-performance by counterparties that execute derivative instruments. The credit exposure of derivative contracts, before collateral, is represented by the fair value of contracts at the reporting date. See Note 12 — Derivative Financial Instruments of the Combined Notes to Consolidated Financial Statements for a detailed discussion of credit risk. </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Credit-Risk-Related Contingent Features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As part of the normal course of business, we routinely enter into physically or financially settled contracts for the purchase and sale of capacity, electricity, fuels, emissions allowances, and other energy-related products. In accordance with the contracts and applicable law, if we are downgraded by a credit rating agency, especially if such downgrade is to a level below investment grade, it is possible that a counterparty would attempt to rely on such a downgrade as a basis for making a demand for adequate assurance of future performance. Depending on our net position with a counterparty, the demand could be for the posting of collateral. In the absence of expressly agreed-to provisions that specify the collateral that must be provided, collateral requested will be a function of the facts and circumstances of the situation at the time of the demand. See Note 12 — Derivative Financial Instruments and Note 15 — Commitments and Contingencies of the Combined Notes to Consolidated Financial Statements for additional information regarding the letters of credit supporting the cash collateral.</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sell output through bilateral contracts. The bilateral contracts are subject to credit risk, which relates to the ability of counterparties to meet their contractual payment obligations. Any failure to collect these payments from counterparties could have a material impact on our consolidated financial statements. As market prices rise above or fall below contracted price levels, we are required to post collateral with purchasers; as market prices fall below contracted price levels, counterparties are required to post collateral with us. To post collateral, we depend on access to bank credit facilities, which serve as liquidity sources to fund collateral requirements. See ITEM 2. MANAGEMENT'S DISCUSSION AND ANALYSIS OF FINANCIAL CONDITION AND RESULTS OF OPERATIONS, Liquidity and Capital Resources — Credit Matters and Cash Requirements — Credit Facilities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08025"/>
                <wp:effectExtent l="0" t="0" r="0" b="0"/>
                <wp:wrapNone/>
                <wp:docPr id="79" name="Frame79"/>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77</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RTOs and ISOs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participate in all of the established wholesale energy markets that are administered by PJM, ISO-NE, NYISO, CAISO, MISO, SPP, AESO, OIESO, and ERCOT. ERCOT is not subject to regulation by FERC but performs a similar function in Texas to that performed by RTOs and ISOs in markets regulated by FERC. In these areas, power and related products are traded through bilateral agreements between buyers and sellers and in the energy markets that are administered by the RTOs or ISOs, as applicable. In areas where there is no RTO or ISO to administer energy markets, electricity and related products are purchased and sold primarily through bilateral agreements. For activities administered by an RTO or ISO, the RTO or ISO maintains financial assurance policies that are established and enforced by those administrators. The credit policies of the RTOs and ISOs may, under certain circumstances, require that losses arising from the default of one member be shared by the remaining participants. Non-performance or non-payment by a major member of an RTO or ISO could result in a material adverse impact on our consolidated financial statements.</w:t>
      </w:r>
    </w:p>
    <w:p>
      <w:pPr>
        <w:pStyle w:val="TextBody"/>
        <w:bidi w:val="0"/>
        <w:spacing w:lineRule="auto" w:line="288" w:before="180" w:after="180"/>
        <w:jc w:val="both"/>
        <w:rPr>
          <w:rFonts w:ascii="Arial;sans-serif" w:hAnsi="Arial;sans-serif"/>
          <w:b/>
          <w:i/>
          <w:color w:val="000000"/>
          <w:sz w:val="18"/>
        </w:rPr>
      </w:pPr>
      <w:r>
        <w:rPr>
          <w:rFonts w:ascii="Arial;sans-serif" w:hAnsi="Arial;sans-serif"/>
          <w:b/>
          <w:i/>
          <w:color w:val="000000"/>
          <w:sz w:val="18"/>
        </w:rPr>
        <w:t>Exchange Traded Transactions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enter into commodity transactions on NYMEX, ICE, NASDAQ, NGX, and the Nodal exchange (each an Exchange and, collectively, Exchanges). The Exchange clearinghouses act as the counterparty to each trade. Transactions on the Exchanges must adhere to comprehensive collateral and margining requirements. As a result, transactions on Exchanges are significantly collateralized and have limited counterparty credit risk.</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use a combination of fixed-rate and variable-rate debt to manage interest rate exposure. We may also utilize interest rate swaps to manage our interest rate exposure, including derivatives to lock in rate levels in anticipation of future financings. A hypothetical 50 basis points change in interest rates associated with unhedged variable-rate long-term debt and interest rate swaps would not have resulted in a material impact to our earnings for the six months ended June 30, 2026. See Note 12 — Derivative Financial Instruments of the Combined Notes to Consolidated Financial Statements for additional information.</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Equity Price Risk</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maintain trust funds, as required by the NRC, to fund the costs of decommissioning our nuclear plants. Our NDT funds are reflected at fair value in the Consolidated Balance Sheets. The mix of securities in the trust funds is designed to provide returns to be used to fund decommissioning and to compensate us for inflationary increases in decommissioning costs; however, the equity securities in the trust funds are exposed to price fluctuations in equity markets, and the value of fixed-rate, fixed-income securities are exposed to changes in interest rates. We actively monitor the investment performance of the trust funds and periodically review asset allocations in accordance with our NDT fund investment policy.</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 hypothetical 25 basis points increase in interest rates and 10% decrease in equity prices would have resulted in a $1,129 million reduction in the fair value of our NDT trust assets as of June 30, 2026. This calculation holds all other variables constant and assumes only the discussed changes in interest rates and equity prices. See Note 9 — Asset Retirement Obligations of the Combined Notes to Consolidated Financial Statements and Liquidity and Capital Resources section of ITEM 2. MANAGEMENT'S DISCUSSION AND ANALYSIS OF FINANCIAL CONDITION AND RESULTS OF OPERATIONS for additional information.</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Our employee benefit plan trusts also hold investments in equity and debt securities. See ITEM 7. MANAGEMENT'S DISCUSSION AND ANALYSIS OF FINANCIAL CONDITION AND RESULTS OF OPERATIONS — Critical Accounting Policies and Estimates of our 2025 Form 10-K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08025"/>
                <wp:effectExtent l="0" t="0" r="0" b="0"/>
                <wp:wrapNone/>
                <wp:docPr id="80" name="Frame80"/>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78</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PART II. OTHER INFORMATION</w:t>
      </w:r>
    </w:p>
    <w:p>
      <w:pPr>
        <w:pStyle w:val="TextBody"/>
        <w:bidi w:val="0"/>
        <w:spacing w:lineRule="auto" w:line="288" w:before="180" w:after="180"/>
        <w:jc w:val="center"/>
        <w:rPr>
          <w:rFonts w:ascii="Arial;sans-serif" w:hAnsi="Arial;sans-serif"/>
          <w:b w:val="false"/>
          <w:color w:val="000000"/>
          <w:sz w:val="18"/>
        </w:rPr>
      </w:pPr>
      <w:r>
        <w:rPr>
          <w:rFonts w:ascii="Arial;sans-serif" w:hAnsi="Arial;sans-serif"/>
          <w:b w:val="false"/>
          <w:color w:val="000000"/>
          <w:sz w:val="18"/>
        </w:rPr>
        <w:t>(Dollars in millions except per share data,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64" w:type="dxa"/>
        <w:jc w:val="left"/>
        <w:tblInd w:w="0" w:type="dxa"/>
        <w:tblLayout w:type="fixed"/>
        <w:tblCellMar>
          <w:top w:w="28" w:type="dxa"/>
          <w:left w:w="28" w:type="dxa"/>
          <w:bottom w:w="28" w:type="dxa"/>
          <w:right w:w="28" w:type="dxa"/>
        </w:tblCellMar>
      </w:tblPr>
      <w:tblGrid>
        <w:gridCol w:w="266"/>
        <w:gridCol w:w="234"/>
        <w:gridCol w:w="235"/>
        <w:gridCol w:w="623"/>
        <w:gridCol w:w="623"/>
        <w:gridCol w:w="88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color w:val="000000"/>
                <w:sz w:val="18"/>
              </w:rPr>
            </w:pPr>
            <w:r>
              <w:rPr>
                <w:rFonts w:ascii="Arial;sans-serif" w:hAnsi="Arial;sans-serif"/>
                <w:b/>
                <w:color w:val="000000"/>
                <w:sz w:val="18"/>
              </w:rPr>
              <w:t>ITEM 1.</w:t>
            </w:r>
          </w:p>
        </w:tc>
        <w:tc>
          <w:tcPr>
            <w:tcW w:w="2129"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color w:val="000000"/>
                <w:sz w:val="18"/>
              </w:rPr>
            </w:pPr>
            <w:r>
              <w:rPr>
                <w:rFonts w:ascii="Arial;sans-serif" w:hAnsi="Arial;sans-serif"/>
                <w:b/>
                <w:color w:val="000000"/>
                <w:sz w:val="18"/>
              </w:rPr>
              <w:t>LEGAL PROCEEDINGS</w:t>
            </w:r>
          </w:p>
        </w:tc>
      </w:tr>
    </w:tbl>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are parties to various lawsuits and regulatory proceedings in the ordinary course of business. For information regarding material lawsuits and proceedings, see Note 3 — Regulatory Matters and Note 15 — Commitments and Contingencies of the Combined Notes to Consolidated Financial Statements in PART I, ITEM 1. FINANCIAL STATEMENTS of this report. Such descriptions are incorporated herein by these references.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0" w:type="dxa"/>
        <w:jc w:val="left"/>
        <w:tblInd w:w="0" w:type="dxa"/>
        <w:tblLayout w:type="fixed"/>
        <w:tblCellMar>
          <w:top w:w="28" w:type="dxa"/>
          <w:left w:w="28" w:type="dxa"/>
          <w:bottom w:w="28" w:type="dxa"/>
          <w:right w:w="28" w:type="dxa"/>
        </w:tblCellMar>
      </w:tblPr>
      <w:tblGrid>
        <w:gridCol w:w="315"/>
        <w:gridCol w:w="277"/>
        <w:gridCol w:w="279"/>
        <w:gridCol w:w="439"/>
        <w:gridCol w:w="439"/>
        <w:gridCol w:w="621"/>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color w:val="000000"/>
                <w:sz w:val="18"/>
              </w:rPr>
            </w:pPr>
            <w:r>
              <w:rPr>
                <w:rFonts w:ascii="Arial;sans-serif" w:hAnsi="Arial;sans-serif"/>
                <w:b/>
                <w:color w:val="000000"/>
                <w:sz w:val="18"/>
              </w:rPr>
              <w:t>ITEM 1A.</w:t>
            </w:r>
          </w:p>
        </w:tc>
        <w:tc>
          <w:tcPr>
            <w:tcW w:w="1499" w:type="dxa"/>
            <w:gridSpan w:val="3"/>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color w:val="000000"/>
                <w:sz w:val="18"/>
              </w:rPr>
            </w:pPr>
            <w:r>
              <w:rPr>
                <w:rFonts w:ascii="Arial;sans-serif" w:hAnsi="Arial;sans-serif"/>
                <w:b/>
                <w:color w:val="000000"/>
                <w:sz w:val="18"/>
              </w:rPr>
              <w:t>RISK FACTORS</w:t>
            </w:r>
          </w:p>
        </w:tc>
      </w:tr>
    </w:tbl>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At June 30, 2026, our risk factors were consistent with the risk factors described in our 2025 Form 10-K in ITEM 1A. RISK FACTORS which was inclusive of the risks related to the Calpine acquisition and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04" w:type="dxa"/>
        <w:jc w:val="left"/>
        <w:tblInd w:w="0" w:type="dxa"/>
        <w:tblLayout w:type="fixed"/>
        <w:tblCellMar>
          <w:top w:w="28" w:type="dxa"/>
          <w:left w:w="28" w:type="dxa"/>
          <w:bottom w:w="28" w:type="dxa"/>
          <w:right w:w="28" w:type="dxa"/>
        </w:tblCellMar>
      </w:tblPr>
      <w:tblGrid>
        <w:gridCol w:w="266"/>
        <w:gridCol w:w="234"/>
        <w:gridCol w:w="235"/>
        <w:gridCol w:w="1924"/>
        <w:gridCol w:w="1924"/>
        <w:gridCol w:w="2721"/>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2.</w:t>
            </w:r>
          </w:p>
        </w:tc>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UNREGISTERED SALES OF EQUITY SECURITIES AND USE OF PROCEEDS</w:t>
            </w:r>
          </w:p>
        </w:tc>
      </w:tr>
    </w:tbl>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Issuer Purchases of Equity Securities (CEG Parent)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During 2026, our Board of Directors approved a $4.4 billion increase relative to the remaining $0.6 billion authorization under our share repurchase program. No other repurchase plans or programs have been authorized. As of the date of this filing, we have approximately $2.8 billion of remaining authority for repurchases. See Note 16 — Shareholders' Equity of the Combined Notes to Consolidated Financial Statements for additional information regarding our share repurchase program.</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 xml:space="preserve">No accelerated share repurchases occurred under the program during the six months ended June 30, 2026. </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The following table provides information regarding our share repurchases under the program during the three months ended June 30, 2026.</w:t>
      </w:r>
    </w:p>
    <w:tbl>
      <w:tblPr>
        <w:tblW w:w="10205" w:type="dxa"/>
        <w:jc w:val="left"/>
        <w:tblInd w:w="0" w:type="dxa"/>
        <w:tblLayout w:type="fixed"/>
        <w:tblCellMar>
          <w:top w:w="28" w:type="dxa"/>
          <w:left w:w="28" w:type="dxa"/>
          <w:bottom w:w="28" w:type="dxa"/>
          <w:right w:w="28" w:type="dxa"/>
        </w:tblCellMar>
      </w:tblPr>
      <w:tblGrid>
        <w:gridCol w:w="726"/>
        <w:gridCol w:w="636"/>
        <w:gridCol w:w="640"/>
        <w:gridCol w:w="773"/>
        <w:gridCol w:w="608"/>
        <w:gridCol w:w="610"/>
        <w:gridCol w:w="109"/>
        <w:gridCol w:w="109"/>
        <w:gridCol w:w="109"/>
        <w:gridCol w:w="334"/>
        <w:gridCol w:w="1144"/>
        <w:gridCol w:w="173"/>
        <w:gridCol w:w="109"/>
        <w:gridCol w:w="109"/>
        <w:gridCol w:w="109"/>
        <w:gridCol w:w="839"/>
        <w:gridCol w:w="2451"/>
        <w:gridCol w:w="617"/>
      </w:tblGrid>
      <w:tr>
        <w:trPr/>
        <w:tc>
          <w:tcPr>
            <w:tcW w:w="72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Period</w:t>
            </w:r>
          </w:p>
        </w:tc>
        <w:tc>
          <w:tcPr>
            <w:tcW w:w="199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Total Number of Shares Purchased</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4"/>
              </w:rPr>
              <w:t>Approximate Dollar Value of Shares that May Yet Be Purchased Under the Programs</w:t>
            </w:r>
            <w:r>
              <w:rPr>
                <w:rFonts w:ascii="Arial;sans-serif" w:hAnsi="Arial;sans-serif"/>
                <w:b/>
                <w:color w:val="000000"/>
                <w:sz w:val="9"/>
              </w:rPr>
              <w:t>(b)</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April 1, 2026 to April 30, 2026</w:t>
            </w:r>
            <w:r>
              <w:rPr>
                <w:rFonts w:ascii="Arial;sans-serif" w:hAnsi="Arial;sans-serif"/>
                <w:b w:val="false"/>
                <w:color w:val="000000"/>
                <w:sz w:val="12"/>
              </w:rPr>
              <w:t>(c)</w:t>
            </w:r>
          </w:p>
        </w:tc>
        <w:tc>
          <w:tcPr>
            <w:tcW w:w="13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1,175,521 </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284.75 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4,658 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May 1, 2026 to May 31, 2026</w:t>
            </w:r>
            <w:r>
              <w:rPr>
                <w:rFonts w:ascii="Arial;sans-serif" w:hAnsi="Arial;sans-serif"/>
                <w:b w:val="false"/>
                <w:color w:val="000000"/>
                <w:sz w:val="12"/>
              </w:rPr>
              <w:t>(c)</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2,088,837 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4,080 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June 1, 2026 to June 30, 2026</w:t>
            </w:r>
            <w:r>
              <w:rPr>
                <w:rFonts w:ascii="Arial;sans-serif" w:hAnsi="Arial;sans-serif"/>
                <w:b w:val="false"/>
                <w:color w:val="000000"/>
                <w:sz w:val="12"/>
              </w:rPr>
              <w:t>(c)(d)</w:t>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3,873,974 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3,022 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7,138,332 </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276.08 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2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3,022 </w:t>
            </w:r>
          </w:p>
        </w:tc>
        <w:tc>
          <w:tcPr>
            <w:tcW w:w="6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(a)We have not made any purchases of shares other than in connection with the publicly announced share repurchase program described above.</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(b)Approximate dollar value of shares that may yet be purchased under the program includes taxes and commissions.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(c)Includes repurchases under open market repurchase agreements. See Note 16 — Shareholders' Equity of the Combined Notes to Consolidated Financial Statements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(d)Includes repurchases under secondary public offering. See Note 2 — Mergers, Acquisitions, and Dispositions of the Combined Notes to Consolidated Financial Statements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5" w:type="dxa"/>
        <w:jc w:val="left"/>
        <w:tblInd w:w="0" w:type="dxa"/>
        <w:tblLayout w:type="fixed"/>
        <w:tblCellMar>
          <w:top w:w="28" w:type="dxa"/>
          <w:left w:w="28" w:type="dxa"/>
          <w:bottom w:w="28" w:type="dxa"/>
          <w:right w:w="28" w:type="dxa"/>
        </w:tblCellMar>
      </w:tblPr>
      <w:tblGrid>
        <w:gridCol w:w="266"/>
        <w:gridCol w:w="234"/>
        <w:gridCol w:w="235"/>
        <w:gridCol w:w="790"/>
        <w:gridCol w:w="790"/>
        <w:gridCol w:w="112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4.</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MINE SAFETY DISCLOSURES</w:t>
            </w:r>
          </w:p>
        </w:tc>
      </w:tr>
    </w:tbl>
    <w:p>
      <w:pPr>
        <w:pStyle w:val="TextBody"/>
        <w:bidi w:val="0"/>
        <w:spacing w:lineRule="auto" w:line="288" w:before="18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08025"/>
                <wp:effectExtent l="0" t="0" r="0" b="0"/>
                <wp:wrapNone/>
                <wp:docPr id="81" name="Frame81"/>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79</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before="180" w:after="180"/>
        <w:jc w:val="left"/>
        <w:rPr/>
      </w:pPr>
      <w:r>
        <w:rPr/>
      </w:r>
    </w:p>
    <w:tbl>
      <w:tblPr>
        <w:tblW w:w="2819" w:type="dxa"/>
        <w:jc w:val="left"/>
        <w:tblInd w:w="0" w:type="dxa"/>
        <w:tblLayout w:type="fixed"/>
        <w:tblCellMar>
          <w:top w:w="28" w:type="dxa"/>
          <w:left w:w="28" w:type="dxa"/>
          <w:bottom w:w="28" w:type="dxa"/>
          <w:right w:w="28" w:type="dxa"/>
        </w:tblCellMar>
      </w:tblPr>
      <w:tblGrid>
        <w:gridCol w:w="266"/>
        <w:gridCol w:w="234"/>
        <w:gridCol w:w="235"/>
        <w:gridCol w:w="610"/>
        <w:gridCol w:w="610"/>
        <w:gridCol w:w="864"/>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ITEM 5.</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INFORMATION</w:t>
            </w:r>
          </w:p>
        </w:tc>
      </w:tr>
    </w:tbl>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Rule 10b5-1 Trading Plans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Except as set forth below, during the three months ended June 30, 2026, none of our directors or executive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under Regulation S-K of the Exchange Act).</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On May 18, 2026, Andrew Novotny, Senior Executive Vice President, Constellation Power Operations, and President and CEO, Calpine, entered into a stock trading plan designed to comply with Rule 10b5-1 under the Exchange Act. Under the terms of the plan, Mr. Novotny is scheduled to sell an aggregate of 118,915 shares of common stock in trades scheduled from August 2026 through January 2027. The plan will terminate on January 15,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11" w:type="dxa"/>
        <w:jc w:val="left"/>
        <w:tblInd w:w="0" w:type="dxa"/>
        <w:tblLayout w:type="fixed"/>
        <w:tblCellMar>
          <w:top w:w="28" w:type="dxa"/>
          <w:left w:w="28" w:type="dxa"/>
          <w:bottom w:w="28" w:type="dxa"/>
          <w:right w:w="28" w:type="dxa"/>
        </w:tblCellMar>
      </w:tblPr>
      <w:tblGrid>
        <w:gridCol w:w="266"/>
        <w:gridCol w:w="234"/>
        <w:gridCol w:w="235"/>
        <w:gridCol w:w="285"/>
        <w:gridCol w:w="285"/>
        <w:gridCol w:w="40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6.</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EXHIBITS</w:t>
            </w:r>
          </w:p>
        </w:tc>
      </w:tr>
    </w:tbl>
    <w:tbl>
      <w:tblPr>
        <w:tblW w:w="10205" w:type="dxa"/>
        <w:jc w:val="left"/>
        <w:tblInd w:w="0" w:type="dxa"/>
        <w:tblLayout w:type="fixed"/>
        <w:tblCellMar>
          <w:top w:w="28" w:type="dxa"/>
          <w:left w:w="28" w:type="dxa"/>
          <w:bottom w:w="28" w:type="dxa"/>
          <w:right w:w="28" w:type="dxa"/>
        </w:tblCellMar>
      </w:tblPr>
      <w:tblGrid>
        <w:gridCol w:w="1265"/>
        <w:gridCol w:w="1001"/>
        <w:gridCol w:w="1001"/>
        <w:gridCol w:w="2241"/>
        <w:gridCol w:w="1935"/>
        <w:gridCol w:w="2762"/>
      </w:tblGrid>
      <w:tr>
        <w:trPr/>
        <w:tc>
          <w:tcPr>
            <w:tcW w:w="126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Certain of the following exhibits are incorporated herein by reference under Rule 12b-32 of the Exchange Act.</w:t>
            </w:r>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Exhibit No.</w:t>
            </w:r>
          </w:p>
        </w:tc>
        <w:tc>
          <w:tcPr>
            <w:tcW w:w="6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Description</w:t>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Arial;sans-serif" w:hAnsi="Arial;sans-serif"/>
                  <w:b w:val="false"/>
                  <w:color w:val="000080"/>
                  <w:sz w:val="18"/>
                  <w:u w:val="single"/>
                </w:rPr>
                <w:t>4</w:t>
              </w:r>
            </w:hyperlink>
            <w:hyperlink r:id="rId3">
              <w:r>
                <w:rPr>
                  <w:rStyle w:val="InternetLink"/>
                  <w:rFonts w:ascii="Arial;sans-serif" w:hAnsi="Arial;sans-serif"/>
                  <w:b w:val="false"/>
                  <w:color w:val="000080"/>
                  <w:sz w:val="18"/>
                  <w:u w:val="single"/>
                </w:rPr>
                <w:t>.1</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8"/>
                  <w:u w:val="single"/>
                </w:rPr>
                <w:t>Form of 4.550% Senior Notes due June 1, 2029 (File No. 333-85496, Form 8-K dated May 14, 2026, Exhibit 4.1)</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Arial;sans-serif" w:hAnsi="Arial;sans-serif"/>
                  <w:b w:val="false"/>
                  <w:color w:val="000080"/>
                  <w:sz w:val="18"/>
                  <w:u w:val="single"/>
                </w:rPr>
                <w:t>4</w:t>
              </w:r>
            </w:hyperlink>
            <w:hyperlink r:id="rId6">
              <w:r>
                <w:rPr>
                  <w:rStyle w:val="InternetLink"/>
                  <w:rFonts w:ascii="Arial;sans-serif" w:hAnsi="Arial;sans-serif"/>
                  <w:b w:val="false"/>
                  <w:color w:val="000080"/>
                  <w:sz w:val="18"/>
                  <w:u w:val="single"/>
                </w:rPr>
                <w:t>.2</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Arial;sans-serif" w:hAnsi="Arial;sans-serif"/>
                  <w:b w:val="false"/>
                  <w:color w:val="0000FF"/>
                  <w:sz w:val="18"/>
                  <w:u w:val="single"/>
                </w:rPr>
                <w:t>Form of 4.800% Senior Notes due January 15, 2032 (File No. 333-85496, Form 8-K dated May 14, 2026, Exhibit 4.2)</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Arial;sans-serif" w:hAnsi="Arial;sans-serif"/>
                  <w:b w:val="false"/>
                  <w:color w:val="000080"/>
                  <w:sz w:val="18"/>
                  <w:u w:val="single"/>
                </w:rPr>
                <w:t>4</w:t>
              </w:r>
            </w:hyperlink>
            <w:hyperlink r:id="rId9">
              <w:r>
                <w:rPr>
                  <w:rStyle w:val="InternetLink"/>
                  <w:rFonts w:ascii="Arial;sans-serif" w:hAnsi="Arial;sans-serif"/>
                  <w:b w:val="false"/>
                  <w:color w:val="000080"/>
                  <w:sz w:val="18"/>
                  <w:u w:val="single"/>
                </w:rPr>
                <w:t>.3</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Arial;sans-serif" w:hAnsi="Arial;sans-serif"/>
                  <w:b w:val="false"/>
                  <w:color w:val="0000FF"/>
                  <w:sz w:val="18"/>
                  <w:u w:val="single"/>
                </w:rPr>
                <w:t>Form of 5.300% Senior Notes due June 1, 2036 (File No. 333-85496, Form 8-K dated May 14, 2026, Exhibit 4.3)</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6938"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Certifications Pursuant to Rule 13a-14(a) and 15d-14(a) of the Exchange Act as to the Quarterly Report on Form 10-Q for the quarterly period ended June 30, 2026 filed by the following officers for the following registrants:</w:t>
            </w:r>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Exhibit No.</w:t>
            </w:r>
          </w:p>
        </w:tc>
        <w:tc>
          <w:tcPr>
            <w:tcW w:w="6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Description</w:t>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1.htm">
              <w:r>
                <w:rPr>
                  <w:rStyle w:val="InternetLink"/>
                  <w:rFonts w:ascii="Arial;sans-serif" w:hAnsi="Arial;sans-serif"/>
                  <w:b w:val="false"/>
                  <w:color w:val="0000FF"/>
                  <w:sz w:val="18"/>
                  <w:u w:val="single"/>
                </w:rPr>
                <w:t>31.1</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1.htm">
              <w:r>
                <w:rPr>
                  <w:rStyle w:val="InternetLink"/>
                  <w:rFonts w:ascii="Arial;sans-serif" w:hAnsi="Arial;sans-serif"/>
                  <w:b w:val="false"/>
                  <w:color w:val="0000FF"/>
                  <w:sz w:val="18"/>
                  <w:u w:val="single"/>
                </w:rPr>
                <w:t>Filed by Joseph Dominguez for Constellation Energy Corporation</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2.htm">
              <w:r>
                <w:rPr>
                  <w:rStyle w:val="InternetLink"/>
                  <w:rFonts w:ascii="Arial;sans-serif" w:hAnsi="Arial;sans-serif"/>
                  <w:b w:val="false"/>
                  <w:color w:val="0000FF"/>
                  <w:sz w:val="18"/>
                  <w:u w:val="single"/>
                </w:rPr>
                <w:t>31.2</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2.htm">
              <w:r>
                <w:rPr>
                  <w:rStyle w:val="InternetLink"/>
                  <w:rFonts w:ascii="Arial;sans-serif" w:hAnsi="Arial;sans-serif"/>
                  <w:b w:val="false"/>
                  <w:color w:val="0000FF"/>
                  <w:sz w:val="18"/>
                  <w:u w:val="single"/>
                </w:rPr>
                <w:t>Filed by Shane P. Smith for Constellation Energy Corporation</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3.htm">
              <w:r>
                <w:rPr>
                  <w:rStyle w:val="InternetLink"/>
                  <w:rFonts w:ascii="Arial;sans-serif" w:hAnsi="Arial;sans-serif"/>
                  <w:b w:val="false"/>
                  <w:color w:val="0000FF"/>
                  <w:sz w:val="18"/>
                  <w:u w:val="single"/>
                </w:rPr>
                <w:t>31.3</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3.htm">
              <w:r>
                <w:rPr>
                  <w:rStyle w:val="InternetLink"/>
                  <w:rFonts w:ascii="Arial;sans-serif" w:hAnsi="Arial;sans-serif"/>
                  <w:b w:val="false"/>
                  <w:color w:val="0000FF"/>
                  <w:sz w:val="18"/>
                  <w:u w:val="single"/>
                </w:rPr>
                <w:t>Filed by Joseph Dominguez for Constellation Energy Generation, LLC</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4.htm">
              <w:r>
                <w:rPr>
                  <w:rStyle w:val="InternetLink"/>
                  <w:rFonts w:ascii="Arial;sans-serif" w:hAnsi="Arial;sans-serif"/>
                  <w:b w:val="false"/>
                  <w:color w:val="0000FF"/>
                  <w:sz w:val="18"/>
                  <w:u w:val="single"/>
                </w:rPr>
                <w:t>31.4</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14.htm">
              <w:r>
                <w:rPr>
                  <w:rStyle w:val="InternetLink"/>
                  <w:rFonts w:ascii="Arial;sans-serif" w:hAnsi="Arial;sans-serif"/>
                  <w:b w:val="false"/>
                  <w:color w:val="0000FF"/>
                  <w:sz w:val="18"/>
                  <w:u w:val="single"/>
                </w:rPr>
                <w:t>Filed by Shane P. Smith for Constellation Energy Generation, LLC</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Certifications Pursuant to Section 1350 of Chapter 63 of Title 18 United States Code as to the Quarterly Report on Form 10-Q for the quarterly period ended June 30, 2026 filed by the following officers for the following registrants:</w:t>
            </w:r>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Exhibit No.</w:t>
            </w:r>
          </w:p>
        </w:tc>
        <w:tc>
          <w:tcPr>
            <w:tcW w:w="69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Description</w:t>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1.htm">
              <w:r>
                <w:rPr>
                  <w:rStyle w:val="InternetLink"/>
                  <w:rFonts w:ascii="Arial;sans-serif" w:hAnsi="Arial;sans-serif"/>
                  <w:b w:val="false"/>
                  <w:color w:val="0000FF"/>
                  <w:sz w:val="18"/>
                  <w:u w:val="single"/>
                </w:rPr>
                <w:t>32.1</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1.htm">
              <w:r>
                <w:rPr>
                  <w:rStyle w:val="InternetLink"/>
                  <w:rFonts w:ascii="Arial;sans-serif" w:hAnsi="Arial;sans-serif"/>
                  <w:b w:val="false"/>
                  <w:color w:val="0000FF"/>
                  <w:sz w:val="18"/>
                  <w:u w:val="single"/>
                </w:rPr>
                <w:t>Filed by Joseph Dominguez for Constellation Energy Corporation</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630x10qxexh322.htm">
              <w:r>
                <w:rPr>
                  <w:rStyle w:val="InternetLink"/>
                  <w:rFonts w:ascii="Arial;sans-serif" w:hAnsi="Arial;sans-serif"/>
                  <w:b w:val="false"/>
                  <w:color w:val="0000FF"/>
                  <w:sz w:val="18"/>
                  <w:u w:val="single"/>
                </w:rPr>
                <w:t>32.2</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2.htm">
              <w:r>
                <w:rPr>
                  <w:rStyle w:val="InternetLink"/>
                  <w:rFonts w:ascii="Arial;sans-serif" w:hAnsi="Arial;sans-serif"/>
                  <w:b w:val="false"/>
                  <w:color w:val="0000FF"/>
                  <w:sz w:val="18"/>
                  <w:u w:val="single"/>
                </w:rPr>
                <w:t>Filed by Shane P. Smith for Constellation Energy Corporation</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3.htm">
              <w:r>
                <w:rPr>
                  <w:rStyle w:val="InternetLink"/>
                  <w:rFonts w:ascii="Arial;sans-serif" w:hAnsi="Arial;sans-serif"/>
                  <w:b w:val="false"/>
                  <w:color w:val="0000FF"/>
                  <w:sz w:val="18"/>
                  <w:u w:val="single"/>
                </w:rPr>
                <w:t>32.3</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3.htm">
              <w:r>
                <w:rPr>
                  <w:rStyle w:val="InternetLink"/>
                  <w:rFonts w:ascii="Arial;sans-serif" w:hAnsi="Arial;sans-serif"/>
                  <w:b w:val="false"/>
                  <w:color w:val="0000FF"/>
                  <w:sz w:val="18"/>
                  <w:u w:val="single"/>
                </w:rPr>
                <w:t>Filed by Joseph Dominguez for Constellation Energy Generation, LLC</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4.htm">
              <w:r>
                <w:rPr>
                  <w:rStyle w:val="InternetLink"/>
                  <w:rFonts w:ascii="Arial;sans-serif" w:hAnsi="Arial;sans-serif"/>
                  <w:b w:val="false"/>
                  <w:color w:val="0000FF"/>
                  <w:sz w:val="18"/>
                  <w:u w:val="single"/>
                </w:rPr>
                <w:t>32.4</w:t>
              </w:r>
            </w:hyperlink>
          </w:p>
        </w:tc>
        <w:tc>
          <w:tcPr>
            <w:tcW w:w="693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eg-20260630x10qxexh324.htm">
              <w:r>
                <w:rPr>
                  <w:rStyle w:val="InternetLink"/>
                  <w:rFonts w:ascii="Arial;sans-serif" w:hAnsi="Arial;sans-serif"/>
                  <w:b w:val="false"/>
                  <w:color w:val="0000FF"/>
                  <w:sz w:val="18"/>
                  <w:u w:val="single"/>
                </w:rPr>
                <w:t>Filed by Shane P. Smith for Constellation Energy Generation, LLC</w:t>
              </w:r>
            </w:hyperlink>
          </w:p>
        </w:tc>
      </w:tr>
      <w:tr>
        <w:trPr/>
        <w:tc>
          <w:tcPr>
            <w:tcW w:w="3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08025"/>
                <wp:effectExtent l="0" t="0" r="0" b="0"/>
                <wp:wrapNone/>
                <wp:docPr id="82" name="Frame82"/>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80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80</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9"/>
        <w:gridCol w:w="271"/>
        <w:gridCol w:w="272"/>
        <w:gridCol w:w="2765"/>
        <w:gridCol w:w="2709"/>
        <w:gridCol w:w="3879"/>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Exhibit No.</w:t>
            </w:r>
          </w:p>
        </w:tc>
        <w:tc>
          <w:tcPr>
            <w:tcW w:w="93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u w:val="single"/>
              </w:rPr>
            </w:pPr>
            <w:r>
              <w:rPr>
                <w:rFonts w:ascii="Arial;sans-serif" w:hAnsi="Arial;sans-serif"/>
                <w:b/>
                <w:color w:val="000000"/>
                <w:sz w:val="14"/>
                <w:u w:val="single"/>
              </w:rPr>
              <w:t>Description</w:t>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rPr/>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5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75" w:type="dxa"/>
        <w:jc w:val="left"/>
        <w:tblInd w:w="0" w:type="dxa"/>
        <w:tblLayout w:type="fixed"/>
        <w:tblCellMar>
          <w:top w:w="28" w:type="dxa"/>
          <w:left w:w="28" w:type="dxa"/>
          <w:bottom w:w="28" w:type="dxa"/>
          <w:right w:w="28" w:type="dxa"/>
        </w:tblCellMar>
      </w:tblPr>
      <w:tblGrid>
        <w:gridCol w:w="266"/>
        <w:gridCol w:w="234"/>
        <w:gridCol w:w="235"/>
        <w:gridCol w:w="861"/>
        <w:gridCol w:w="861"/>
        <w:gridCol w:w="121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ITEM 4.</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CONTROLS AND PROCEDURES</w:t>
            </w:r>
          </w:p>
        </w:tc>
      </w:tr>
    </w:tbl>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During the second quarter of 2026, our principal executive officer and principal financial officer, evaluated the effectiveness of our disclosure controls and procedures related to the recording, processing, summarizing, and reporting of information in periodic reports that we file or submit with the SEC. These disclosure controls and procedures have been designed to ensure that (a) information relating to our consolidated subsidiaries, is accumulated and made known to our management, including our principal executive officer and principal financial officer, by other employees as appropriate to allow timely decisions regarding required disclosure, and (b) this information is recorded, processed, summarized,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could be circumvented by the individual acts of some persons or by collusion of two or more people.</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Accordingly, as of June 30, 2026, our principal executive officer and principal financial officer concluded that our disclosure controls and procedures were effective to accomplish their objectives.</w:t>
      </w:r>
    </w:p>
    <w:p>
      <w:pPr>
        <w:pStyle w:val="TextBody"/>
        <w:bidi w:val="0"/>
        <w:spacing w:lineRule="auto" w:line="288" w:before="180" w:after="18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80" w:after="180"/>
        <w:jc w:val="both"/>
        <w:rPr>
          <w:rFonts w:ascii="Arial;sans-serif" w:hAnsi="Arial;sans-serif"/>
          <w:b w:val="false"/>
          <w:color w:val="000000"/>
          <w:sz w:val="18"/>
        </w:rPr>
      </w:pPr>
      <w:r>
        <w:rPr>
          <w:rFonts w:ascii="Arial;sans-serif" w:hAnsi="Arial;sans-serif"/>
          <w:b w:val="false"/>
          <w:color w:val="000000"/>
          <w:sz w:val="18"/>
        </w:rPr>
        <w:t>We continually strive to improve our disclosure controls and procedures to enhance the quality of our financial reporting and to maintain dynamic systems that change as conditions warrant. There have been no changes in internal control over financial reporting that occurred during the second quarter of 2026 that have materially affected, or are reasonably likely to materially affect, any of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08025"/>
                <wp:effectExtent l="0" t="0" r="0" b="0"/>
                <wp:wrapNone/>
                <wp:docPr id="83" name="Frame83"/>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81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81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180" w:after="180"/>
        <w:ind w:left="0" w:right="0" w:firstLine="720"/>
        <w:jc w:val="both"/>
        <w:rPr>
          <w:rFonts w:ascii="Arial;sans-serif" w:hAnsi="Arial;sans-serif"/>
          <w:b/>
          <w:color w:val="000000"/>
          <w:sz w:val="18"/>
        </w:rPr>
      </w:pPr>
      <w:r>
        <w:rPr>
          <w:rFonts w:ascii="Arial;sans-serif" w:hAnsi="Arial;sans-serif"/>
          <w:b/>
          <w:color w:val="000000"/>
          <w:sz w:val="18"/>
        </w:rPr>
        <w:t>CONSTELLATION ENERGY CORPORATION</w:t>
      </w:r>
    </w:p>
    <w:tbl>
      <w:tblPr>
        <w:tblW w:w="7901" w:type="dxa"/>
        <w:jc w:val="left"/>
        <w:tblInd w:w="0" w:type="dxa"/>
        <w:tblLayout w:type="fixed"/>
        <w:tblCellMar>
          <w:top w:w="28" w:type="dxa"/>
          <w:left w:w="28" w:type="dxa"/>
          <w:bottom w:w="28" w:type="dxa"/>
          <w:right w:w="28" w:type="dxa"/>
        </w:tblCellMar>
      </w:tblPr>
      <w:tblGrid>
        <w:gridCol w:w="1140"/>
        <w:gridCol w:w="1003"/>
        <w:gridCol w:w="1007"/>
        <w:gridCol w:w="109"/>
        <w:gridCol w:w="109"/>
        <w:gridCol w:w="109"/>
        <w:gridCol w:w="1290"/>
        <w:gridCol w:w="1290"/>
        <w:gridCol w:w="1844"/>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JOSEPH DOMINGUEZ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SHANE P. SMITH</w:t>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Joseph Dominguez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Shane P. Smith</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President and Chief Executive Officer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Executive Vice President and Chief Financial Officer </w:t>
              <w:br/>
              <w:t>(Principal Financial Officer)</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MATTHEW N.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Matthew N.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Senior Vice President and Controller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Arial;sans-serif" w:hAnsi="Arial;sans-serif"/>
          <w:b w:val="false"/>
          <w:color w:val="000000"/>
          <w:sz w:val="18"/>
        </w:rPr>
      </w:pPr>
      <w:r>
        <w:rPr>
          <w:rFonts w:ascii="Arial;sans-serif" w:hAnsi="Arial;sans-serif"/>
          <w:b w:val="false"/>
          <w:color w:val="000000"/>
          <w:sz w:val="18"/>
        </w:rPr>
        <w:t>August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08025"/>
                <wp:effectExtent l="0" t="0" r="0" b="0"/>
                <wp:wrapNone/>
                <wp:docPr id="84" name="Frame84"/>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82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82</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b2e2cd1fbda44c68bbdd8537ab016e5_25">
        <w:r>
          <w:rPr>
            <w:rStyle w:val="InternetLink"/>
            <w:rFonts w:ascii="Arial;sans-serif" w:hAnsi="Arial;sans-serif"/>
            <w:b w:val="false"/>
            <w:color w:val="0000FF"/>
            <w:sz w:val="18"/>
            <w:u w:val="single"/>
          </w:rPr>
          <w:t>Table of Contents</w:t>
        </w:r>
      </w:hyperlink>
    </w:p>
    <w:p>
      <w:pPr>
        <w:pStyle w:val="TextBody"/>
        <w:bidi w:val="0"/>
        <w:spacing w:before="180" w:after="180"/>
        <w:jc w:val="center"/>
        <w:rPr/>
      </w:pPr>
      <w:r>
        <w:rPr/>
      </w:r>
    </w:p>
    <w:p>
      <w:pPr>
        <w:pStyle w:val="TextBody"/>
        <w:bidi w:val="0"/>
        <w:spacing w:lineRule="auto" w:line="288" w:before="180" w:after="283"/>
        <w:jc w:val="both"/>
        <w:rPr>
          <w:rFonts w:ascii="Arial;sans-serif" w:hAnsi="Arial;sans-serif"/>
          <w:b w:val="false"/>
          <w:color w:val="000000"/>
          <w:sz w:val="18"/>
        </w:rPr>
      </w:pPr>
      <w:r>
        <w:rPr>
          <w:rFonts w:ascii="Arial;sans-serif" w:hAnsi="Arial;sans-serif"/>
          <w:b w:val="false"/>
          <w:color w:val="000000"/>
          <w:sz w:val="18"/>
        </w:rPr>
        <w:t>Pursuant to requirements of the Securities Exchange Act of 1934, the Registrant has duly caused this report to be signed on its behalf by the undersigned thereunto duly authorized.</w:t>
      </w:r>
    </w:p>
    <w:p>
      <w:pPr>
        <w:pStyle w:val="TextBody"/>
        <w:bidi w:val="0"/>
        <w:spacing w:lineRule="auto" w:line="288" w:before="180" w:after="180"/>
        <w:ind w:left="0" w:right="0" w:firstLine="720"/>
        <w:jc w:val="both"/>
        <w:rPr>
          <w:rFonts w:ascii="Arial;sans-serif" w:hAnsi="Arial;sans-serif"/>
          <w:b/>
          <w:color w:val="000000"/>
          <w:sz w:val="18"/>
        </w:rPr>
      </w:pPr>
      <w:r>
        <w:rPr>
          <w:rFonts w:ascii="Arial;sans-serif" w:hAnsi="Arial;sans-serif"/>
          <w:b/>
          <w:color w:val="000000"/>
          <w:sz w:val="18"/>
        </w:rPr>
        <w:t>CONSTELLATION ENERGY GENERATION, LLC</w:t>
      </w:r>
    </w:p>
    <w:tbl>
      <w:tblPr>
        <w:tblW w:w="7945"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1290"/>
        <w:gridCol w:w="1290"/>
        <w:gridCol w:w="184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JOSEPH DOMINGUEZ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SHANE P. SMITH</w:t>
            </w:r>
          </w:p>
        </w:tc>
      </w:tr>
      <w:tr>
        <w:trPr/>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Joseph Dominguez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Shane P. Smith</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President and Chief Executive Officer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xml:space="preserve">Executive Vice President and Chief Financial Officer </w:t>
              <w:br/>
              <w:t>(Principal Financial Officer)</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MATTHEW N.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Matthew N. Bauer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Senior Vice President and Controller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100" w:after="283"/>
        <w:jc w:val="both"/>
        <w:rPr>
          <w:rFonts w:ascii="Arial;sans-serif" w:hAnsi="Arial;sans-serif"/>
          <w:b w:val="false"/>
          <w:color w:val="000000"/>
          <w:sz w:val="18"/>
        </w:rPr>
      </w:pPr>
      <w:r>
        <w:rPr>
          <w:rFonts w:ascii="Arial;sans-serif" w:hAnsi="Arial;sans-serif"/>
          <w:b w:val="false"/>
          <w:color w:val="000000"/>
          <w:sz w:val="18"/>
        </w:rPr>
        <w:t>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08025"/>
                <wp:effectExtent l="0" t="0" r="0" b="0"/>
                <wp:wrapNone/>
                <wp:docPr id="85" name="Frame85"/>
                <a:graphic xmlns:a="http://schemas.openxmlformats.org/drawingml/2006/main">
                  <a:graphicData uri="http://schemas.microsoft.com/office/word/2010/wordprocessingShape">
                    <wps:wsp>
                      <wps:cNvSpPr txBox="1"/>
                      <wps:spPr>
                        <a:xfrm>
                          <a:off x="0" y="0"/>
                          <a:ext cx="6480175" cy="708025"/>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83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8"/>
                        </w:rPr>
                      </w:pPr>
                      <w:r>
                        <w:rPr>
                          <w:rFonts w:ascii="Arial;sans-serif" w:hAnsi="Arial;sans-serif"/>
                          <w:b w:val="false"/>
                          <w:color w:val="000000"/>
                          <w:sz w:val="18"/>
                        </w:rPr>
                        <w:t>83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CERTIFICATION PURSUANT TO RULE 13a-14(a) AND 15d-14(a) OF THE</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SECURITIES AND EXCHANGE ACT OF 1934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I, Joseph Dominguez, certify that: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Constellation Energy Corporation;</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60" w:after="60"/>
        <w:jc w:val="both"/>
        <w:rPr/>
      </w:pPr>
      <w:r>
        <w:rPr/>
      </w:r>
    </w:p>
    <w:tbl>
      <w:tblPr>
        <w:tblW w:w="3522" w:type="dxa"/>
        <w:jc w:val="left"/>
        <w:tblInd w:w="0" w:type="dxa"/>
        <w:tblLayout w:type="fixed"/>
        <w:tblCellMar>
          <w:top w:w="28" w:type="dxa"/>
          <w:left w:w="28" w:type="dxa"/>
          <w:bottom w:w="28" w:type="dxa"/>
          <w:right w:w="28" w:type="dxa"/>
        </w:tblCellMar>
      </w:tblPr>
      <w:tblGrid>
        <w:gridCol w:w="124"/>
        <w:gridCol w:w="109"/>
        <w:gridCol w:w="109"/>
        <w:gridCol w:w="932"/>
        <w:gridCol w:w="932"/>
        <w:gridCol w:w="1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DOMINGUEZ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CERTIFICATION PURSUANT TO RULE 13a-14(a) AND 15d-14(a) OF THE</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SECURITIES AND EXCHANGE ACT OF 1934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I, Shane P. Smith, certify that: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Constellation Energy Corporation;</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60" w:after="60"/>
        <w:jc w:val="both"/>
        <w:rPr/>
      </w:pPr>
      <w:r>
        <w:rPr/>
      </w:r>
    </w:p>
    <w:tbl>
      <w:tblPr>
        <w:tblW w:w="4721" w:type="dxa"/>
        <w:jc w:val="left"/>
        <w:tblInd w:w="0" w:type="dxa"/>
        <w:tblLayout w:type="fixed"/>
        <w:tblCellMar>
          <w:top w:w="28" w:type="dxa"/>
          <w:left w:w="28" w:type="dxa"/>
          <w:bottom w:w="28" w:type="dxa"/>
          <w:right w:w="28" w:type="dxa"/>
        </w:tblCellMar>
      </w:tblPr>
      <w:tblGrid>
        <w:gridCol w:w="124"/>
        <w:gridCol w:w="109"/>
        <w:gridCol w:w="109"/>
        <w:gridCol w:w="1277"/>
        <w:gridCol w:w="1277"/>
        <w:gridCol w:w="1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31.3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CERTIFICATION PURSUANT TO RULE 13a-14(a) AND 15d-14(a) OF THE</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SECURITIES AND EXCHANGE ACT OF 1934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I, Joseph Dominguez, certify that: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Constellation Energy Generation, LLC;</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60" w:after="60"/>
        <w:jc w:val="both"/>
        <w:rPr/>
      </w:pPr>
      <w:r>
        <w:rPr/>
      </w:r>
    </w:p>
    <w:tbl>
      <w:tblPr>
        <w:tblW w:w="3522" w:type="dxa"/>
        <w:jc w:val="left"/>
        <w:tblInd w:w="0" w:type="dxa"/>
        <w:tblLayout w:type="fixed"/>
        <w:tblCellMar>
          <w:top w:w="28" w:type="dxa"/>
          <w:left w:w="28" w:type="dxa"/>
          <w:bottom w:w="28" w:type="dxa"/>
          <w:right w:w="28" w:type="dxa"/>
        </w:tblCellMar>
      </w:tblPr>
      <w:tblGrid>
        <w:gridCol w:w="124"/>
        <w:gridCol w:w="109"/>
        <w:gridCol w:w="109"/>
        <w:gridCol w:w="932"/>
        <w:gridCol w:w="932"/>
        <w:gridCol w:w="1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DOMINGUEZ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31.4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CERTIFICATION PURSUANT TO RULE 13a-14(a) AND 15d-14(a) OF THE</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SECURITIES AND EXCHANGE ACT OF 1934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I, Shane P. Smith, certify that: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1.I have reviewed this quarterly report on Form 10-Q of Constellation Energy Generation, LLC;</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60" w:after="283"/>
        <w:ind w:left="0" w:right="0" w:hanging="36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60" w:after="60"/>
        <w:jc w:val="both"/>
        <w:rPr/>
      </w:pPr>
      <w:r>
        <w:rPr/>
      </w:r>
    </w:p>
    <w:tbl>
      <w:tblPr>
        <w:tblW w:w="4721" w:type="dxa"/>
        <w:jc w:val="left"/>
        <w:tblInd w:w="0" w:type="dxa"/>
        <w:tblLayout w:type="fixed"/>
        <w:tblCellMar>
          <w:top w:w="28" w:type="dxa"/>
          <w:left w:w="28" w:type="dxa"/>
          <w:bottom w:w="28" w:type="dxa"/>
          <w:right w:w="28" w:type="dxa"/>
        </w:tblCellMar>
      </w:tblPr>
      <w:tblGrid>
        <w:gridCol w:w="124"/>
        <w:gridCol w:w="109"/>
        <w:gridCol w:w="109"/>
        <w:gridCol w:w="1277"/>
        <w:gridCol w:w="1277"/>
        <w:gridCol w:w="1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Certificate Pursuant to Section 1350 of Chapter 63 of Title 18 United States Code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18"/>
        </w:rPr>
      </w:pPr>
      <w:r>
        <w:rPr>
          <w:rFonts w:ascii="Arial;sans-serif" w:hAnsi="Arial;sans-serif"/>
          <w:b w:val="false"/>
          <w:color w:val="000000"/>
          <w:sz w:val="18"/>
        </w:rPr>
        <w:t>The undersigned officer hereby certifies, as to the quarterly report on Form 10-Q of Constellation Energy Corporation for the quarterly period ended June 30,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pStyle w:val="TextBody"/>
        <w:bidi w:val="0"/>
        <w:spacing w:before="0" w:after="0"/>
        <w:ind w:left="0" w:right="0" w:firstLine="495"/>
        <w:jc w:val="both"/>
        <w:rPr/>
      </w:pPr>
      <w:r>
        <w:rPr/>
      </w:r>
    </w:p>
    <w:tbl>
      <w:tblPr>
        <w:tblW w:w="3522" w:type="dxa"/>
        <w:jc w:val="left"/>
        <w:tblInd w:w="0" w:type="dxa"/>
        <w:tblLayout w:type="fixed"/>
        <w:tblCellMar>
          <w:top w:w="28" w:type="dxa"/>
          <w:left w:w="28" w:type="dxa"/>
          <w:bottom w:w="28" w:type="dxa"/>
          <w:right w:w="28" w:type="dxa"/>
        </w:tblCellMar>
      </w:tblPr>
      <w:tblGrid>
        <w:gridCol w:w="124"/>
        <w:gridCol w:w="109"/>
        <w:gridCol w:w="109"/>
        <w:gridCol w:w="932"/>
        <w:gridCol w:w="932"/>
        <w:gridCol w:w="1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DOMINGUEZ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Dominguez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Certificate Pursuant to Section 1350 of Chapter 63 of Title 18 United States Code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18"/>
        </w:rPr>
      </w:pPr>
      <w:r>
        <w:rPr>
          <w:rFonts w:ascii="Arial;sans-serif" w:hAnsi="Arial;sans-serif"/>
          <w:b w:val="false"/>
          <w:color w:val="000000"/>
          <w:sz w:val="18"/>
        </w:rPr>
        <w:t>The undersigned officer hereby certifies, as to the quarterly report on Form 10-Q of Constellation Energy Corporation for the quarterly period ended June 30,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pStyle w:val="TextBody"/>
        <w:bidi w:val="0"/>
        <w:spacing w:before="0" w:after="0"/>
        <w:ind w:left="0" w:right="0" w:firstLine="495"/>
        <w:jc w:val="both"/>
        <w:rPr/>
      </w:pPr>
      <w:r>
        <w:rPr/>
      </w:r>
    </w:p>
    <w:tbl>
      <w:tblPr>
        <w:tblW w:w="4721" w:type="dxa"/>
        <w:jc w:val="left"/>
        <w:tblInd w:w="0" w:type="dxa"/>
        <w:tblLayout w:type="fixed"/>
        <w:tblCellMar>
          <w:top w:w="28" w:type="dxa"/>
          <w:left w:w="28" w:type="dxa"/>
          <w:bottom w:w="28" w:type="dxa"/>
          <w:right w:w="28" w:type="dxa"/>
        </w:tblCellMar>
      </w:tblPr>
      <w:tblGrid>
        <w:gridCol w:w="124"/>
        <w:gridCol w:w="109"/>
        <w:gridCol w:w="109"/>
        <w:gridCol w:w="1277"/>
        <w:gridCol w:w="1277"/>
        <w:gridCol w:w="1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32.3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Certificate Pursuant to Section 1350 of Chapter 63 of Title 18 United States Code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18"/>
        </w:rPr>
      </w:pPr>
      <w:r>
        <w:rPr>
          <w:rFonts w:ascii="Arial;sans-serif" w:hAnsi="Arial;sans-serif"/>
          <w:b w:val="false"/>
          <w:color w:val="000000"/>
          <w:sz w:val="18"/>
        </w:rPr>
        <w:t>The undersigned officer hereby certifies, as to the quarterly report on Form 10-Q of Constellation Energy Generation, LLC for the quarterly period ended June 30,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pStyle w:val="TextBody"/>
        <w:bidi w:val="0"/>
        <w:spacing w:before="0" w:after="0"/>
        <w:ind w:left="0" w:right="0" w:firstLine="495"/>
        <w:jc w:val="both"/>
        <w:rPr/>
      </w:pPr>
      <w:r>
        <w:rPr/>
      </w:r>
    </w:p>
    <w:tbl>
      <w:tblPr>
        <w:tblW w:w="3522" w:type="dxa"/>
        <w:jc w:val="left"/>
        <w:tblInd w:w="0" w:type="dxa"/>
        <w:tblLayout w:type="fixed"/>
        <w:tblCellMar>
          <w:top w:w="28" w:type="dxa"/>
          <w:left w:w="28" w:type="dxa"/>
          <w:bottom w:w="28" w:type="dxa"/>
          <w:right w:w="28" w:type="dxa"/>
        </w:tblCellMar>
      </w:tblPr>
      <w:tblGrid>
        <w:gridCol w:w="124"/>
        <w:gridCol w:w="109"/>
        <w:gridCol w:w="109"/>
        <w:gridCol w:w="932"/>
        <w:gridCol w:w="932"/>
        <w:gridCol w:w="13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JOSEPH DOMINGUEZ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Joseph Dominguez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18"/>
        </w:rPr>
      </w:pPr>
      <w:r>
        <w:rPr>
          <w:rFonts w:ascii="Arial;sans-serif" w:hAnsi="Arial;sans-serif"/>
          <w:b/>
          <w:color w:val="000000"/>
          <w:sz w:val="18"/>
        </w:rPr>
        <w:t>Exhibit 32.4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Arial;sans-serif" w:hAnsi="Arial;sans-serif"/>
          <w:b/>
          <w:color w:val="000000"/>
          <w:sz w:val="18"/>
        </w:rPr>
      </w:pPr>
      <w:r>
        <w:rPr>
          <w:rFonts w:ascii="Arial;sans-serif" w:hAnsi="Arial;sans-serif"/>
          <w:b/>
          <w:color w:val="000000"/>
          <w:sz w:val="18"/>
        </w:rPr>
        <w:t>Certificate Pursuant to Section 1350 of Chapter 63 of Title 18 United States Code</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both"/>
        <w:rPr>
          <w:rFonts w:ascii="Arial;sans-serif" w:hAnsi="Arial;sans-serif"/>
          <w:b w:val="false"/>
          <w:color w:val="000000"/>
          <w:sz w:val="18"/>
        </w:rPr>
      </w:pPr>
      <w:r>
        <w:rPr>
          <w:rFonts w:ascii="Arial;sans-serif" w:hAnsi="Arial;sans-serif"/>
          <w:b w:val="false"/>
          <w:color w:val="000000"/>
          <w:sz w:val="18"/>
        </w:rPr>
        <w:t>The undersigned officer hereby certifies, as to the quarterly report on Form 10-Q of Constellation Energy Generation, LLC for the quarterly period ended June 30, 2026,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pStyle w:val="TextBody"/>
        <w:bidi w:val="0"/>
        <w:spacing w:before="0" w:after="0"/>
        <w:ind w:left="0" w:right="0" w:firstLine="495"/>
        <w:jc w:val="both"/>
        <w:rPr/>
      </w:pPr>
      <w:r>
        <w:rPr/>
      </w:r>
    </w:p>
    <w:tbl>
      <w:tblPr>
        <w:tblW w:w="4721" w:type="dxa"/>
        <w:jc w:val="left"/>
        <w:tblInd w:w="0" w:type="dxa"/>
        <w:tblLayout w:type="fixed"/>
        <w:tblCellMar>
          <w:top w:w="28" w:type="dxa"/>
          <w:left w:w="28" w:type="dxa"/>
          <w:bottom w:w="28" w:type="dxa"/>
          <w:right w:w="28" w:type="dxa"/>
        </w:tblCellMar>
      </w:tblPr>
      <w:tblGrid>
        <w:gridCol w:w="124"/>
        <w:gridCol w:w="109"/>
        <w:gridCol w:w="109"/>
        <w:gridCol w:w="1277"/>
        <w:gridCol w:w="1277"/>
        <w:gridCol w:w="18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Shane P.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r>
    </w:tbl>
    <w:p>
      <w:pPr>
        <w:pStyle w:val="TextBody"/>
        <w:bidi w:val="0"/>
        <w:spacing w:lineRule="auto" w:line="333" w:before="80" w:after="283"/>
        <w:jc w:val="left"/>
        <w:rPr>
          <w:rFonts w:ascii="Arial;sans-serif" w:hAnsi="Arial;sans-serif"/>
          <w:b w:val="false"/>
          <w:color w:val="000000"/>
          <w:sz w:val="18"/>
        </w:rPr>
      </w:pPr>
      <w:r>
        <w:rPr>
          <w:rFonts w:ascii="Arial;sans-serif" w:hAnsi="Arial;sans-serif"/>
          <w:b w:val="false"/>
          <w:color w:val="000000"/>
          <w:sz w:val="18"/>
        </w:rPr>
        <w:t>Date: August 6, 2026</w:t>
      </w:r>
    </w:p>
    <w:p>
      <w:pPr>
        <w:pStyle w:val="TextBody"/>
        <w:bidi w:val="0"/>
        <w:ind w:left="0" w:right="0" w:firstLine="495"/>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8165/000116816526000010/ceg-202605148kexh41.htm" TargetMode="External"/><Relationship Id="rId3" Type="http://schemas.openxmlformats.org/officeDocument/2006/relationships/hyperlink" Target="https://www.sec.gov/Archives/edgar/data/1168165/000116816526000010/ceg-202605148kexh41.htm" TargetMode="External"/><Relationship Id="rId4" Type="http://schemas.openxmlformats.org/officeDocument/2006/relationships/hyperlink" Target="https://www.sec.gov/Archives/edgar/data/1168165/000116816526000010/ceg-202605148kexh41.htm" TargetMode="External"/><Relationship Id="rId5" Type="http://schemas.openxmlformats.org/officeDocument/2006/relationships/hyperlink" Target="https://www.sec.gov/Archives/edgar/data/1168165/000116816526000010/ceg-202605148kexh42.htm" TargetMode="External"/><Relationship Id="rId6" Type="http://schemas.openxmlformats.org/officeDocument/2006/relationships/hyperlink" Target="https://www.sec.gov/Archives/edgar/data/1168165/000116816526000010/ceg-202605148kexh42.htm" TargetMode="External"/><Relationship Id="rId7" Type="http://schemas.openxmlformats.org/officeDocument/2006/relationships/hyperlink" Target="https://www.sec.gov/Archives/edgar/data/1168165/000116816526000010/ceg-202605148kexh42.htm" TargetMode="External"/><Relationship Id="rId8" Type="http://schemas.openxmlformats.org/officeDocument/2006/relationships/hyperlink" Target="https://www.sec.gov/Archives/edgar/data/1168165/000116816526000010/ceg-202605148kexh43.htm" TargetMode="External"/><Relationship Id="rId9" Type="http://schemas.openxmlformats.org/officeDocument/2006/relationships/hyperlink" Target="https://www.sec.gov/Archives/edgar/data/1168165/000116816526000010/ceg-202605148kexh43.htm" TargetMode="External"/><Relationship Id="rId10" Type="http://schemas.openxmlformats.org/officeDocument/2006/relationships/hyperlink" Target="https://www.sec.gov/Archives/edgar/data/1168165/000116816526000010/ceg-202605148kexh43.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41077</Words>
  <Characters>226976</Characters>
  <CharactersWithSpaces>264037</CharactersWithSpaces>
  <Paragraphs>7384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