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Harrington Charles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1310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Constellation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0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4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Compensation -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188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254.02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 equivalents acquired in the reporting person's Constellation Energy Corporation stock fund account that is part of a multi-fund, non-qualified deferred compensation plan and will be settled in cash on a 1-for-1 basis upon termination of the reporting person's service. The balance of phantom share equivalents may fluctuate due to periodic changes in the fund composition. Balance also reflects approximately 8 share equivalents accrued on September 4, 2026 through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Buck, Attorney-in-Fact for Charles Harrington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8300" TargetMode="External"/><Relationship Id="rId5" Type="http://schemas.openxmlformats.org/officeDocument/2006/relationships/hyperlink" Target="http://www.sec.gov/cgi-bin/browse-edgar?action=getcompany&amp;CIK=00018682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3562</Characters>
  <CharactersWithSpaces>4136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