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April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75"/>
        <w:gridCol w:w="2110"/>
        <w:gridCol w:w="2116"/>
        <w:gridCol w:w="109"/>
        <w:gridCol w:w="109"/>
        <w:gridCol w:w="109"/>
        <w:gridCol w:w="602"/>
        <w:gridCol w:w="602"/>
        <w:gridCol w:w="857"/>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001-41137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87-1210716</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1310 Point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Baltimore, Maryland 21231-3380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10001" w:type="dxa"/>
        <w:jc w:val="center"/>
        <w:tblInd w:w="0" w:type="dxa"/>
        <w:tblLayout w:type="fixed"/>
        <w:tblCellMar>
          <w:top w:w="28" w:type="dxa"/>
          <w:left w:w="28" w:type="dxa"/>
          <w:bottom w:w="28" w:type="dxa"/>
          <w:right w:w="28" w:type="dxa"/>
        </w:tblCellMar>
      </w:tblPr>
      <w:tblGrid>
        <w:gridCol w:w="1996"/>
        <w:gridCol w:w="952"/>
        <w:gridCol w:w="952"/>
        <w:gridCol w:w="307"/>
        <w:gridCol w:w="307"/>
        <w:gridCol w:w="307"/>
        <w:gridCol w:w="425"/>
        <w:gridCol w:w="425"/>
        <w:gridCol w:w="425"/>
        <w:gridCol w:w="307"/>
        <w:gridCol w:w="307"/>
        <w:gridCol w:w="307"/>
        <w:gridCol w:w="874"/>
        <w:gridCol w:w="874"/>
        <w:gridCol w:w="1236"/>
      </w:tblGrid>
      <w:tr>
        <w:trPr/>
        <w:tc>
          <w:tcPr>
            <w:tcW w:w="199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0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CEG</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Section 5 – Corporate Governance and Management</w:t>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Annual Meeting of Shareholders (“Annual Meeting”) of Constellation Energy Corporation (“Constellation”) was held on April 28, 2026. Shareholders of record as of March 4, 2026, were entitled to receive notice and vote at the Annual Meeting.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At the Annual Meeting, the shareholders:</w:t>
      </w:r>
    </w:p>
    <w:p>
      <w:pPr>
        <w:pStyle w:val="TextBody"/>
        <w:bidi w:val="0"/>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1.Elected eleven director nominees to the Board of Directors, each for a term of one year;</w:t>
      </w:r>
    </w:p>
    <w:p>
      <w:pPr>
        <w:pStyle w:val="TextBody"/>
        <w:bidi w:val="0"/>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2.Approved, on an advisory basis, the approval of the compensation paid to the named executive officers as disclosed in Constellation’s 2026 proxy statement; and</w:t>
      </w:r>
    </w:p>
    <w:p>
      <w:pPr>
        <w:pStyle w:val="TextBody"/>
        <w:bidi w:val="0"/>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3.Ratified the appointment of PricewaterhouseCoopers LLP as Constellation’s independent registered public accounting firm for 2026.</w:t>
      </w:r>
    </w:p>
    <w:p>
      <w:pPr>
        <w:pStyle w:val="TextBody"/>
        <w:bidi w:val="0"/>
        <w:spacing w:lineRule="auto" w:line="268" w:before="0" w:after="0"/>
        <w:ind w:left="0" w:right="0" w:hanging="360"/>
        <w:jc w:val="both"/>
        <w:rPr>
          <w:rFonts w:ascii="Arial;sans-serif" w:hAnsi="Arial;sans-serif"/>
          <w:b w:val="false"/>
          <w:color w:val="000000"/>
          <w:sz w:val="18"/>
        </w:rPr>
      </w:pPr>
      <w:r>
        <w:rPr>
          <w:rFonts w:ascii="Arial;sans-serif" w:hAnsi="Arial;sans-serif"/>
          <w:b w:val="false"/>
          <w:color w:val="000000"/>
          <w:sz w:val="18"/>
        </w:rPr>
        <w:t xml:space="preserve">4.Did not approve a shareholder proposal requesting a report assessing the bases for Constellation’s diversity, equity and inclusion initiatives.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tables present the votes cast with respect to each item of business presented at the meeting: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i/>
          <w:color w:val="000000"/>
          <w:sz w:val="18"/>
        </w:rPr>
        <w:t>Proposal 1.</w:t>
      </w:r>
      <w:r>
        <w:rPr>
          <w:color w:val="000000"/>
        </w:rPr>
        <w:t xml:space="preserve"> </w:t>
      </w:r>
      <w:r>
        <w:rPr>
          <w:rFonts w:ascii="Arial;sans-serif" w:hAnsi="Arial;sans-serif"/>
          <w:b/>
          <w:i/>
          <w:color w:val="000000"/>
          <w:sz w:val="18"/>
        </w:rPr>
        <w:t>Election of Directors</w:t>
      </w:r>
    </w:p>
    <w:tbl>
      <w:tblPr>
        <w:tblW w:w="6768" w:type="dxa"/>
        <w:jc w:val="left"/>
        <w:tblInd w:w="0" w:type="dxa"/>
        <w:tblLayout w:type="fixed"/>
        <w:tblCellMar>
          <w:top w:w="28" w:type="dxa"/>
          <w:left w:w="28" w:type="dxa"/>
          <w:bottom w:w="28" w:type="dxa"/>
          <w:right w:w="28" w:type="dxa"/>
        </w:tblCellMar>
      </w:tblPr>
      <w:tblGrid>
        <w:gridCol w:w="619"/>
        <w:gridCol w:w="544"/>
        <w:gridCol w:w="547"/>
        <w:gridCol w:w="379"/>
        <w:gridCol w:w="379"/>
        <w:gridCol w:w="383"/>
        <w:gridCol w:w="355"/>
        <w:gridCol w:w="355"/>
        <w:gridCol w:w="356"/>
        <w:gridCol w:w="305"/>
        <w:gridCol w:w="305"/>
        <w:gridCol w:w="306"/>
        <w:gridCol w:w="567"/>
        <w:gridCol w:w="567"/>
        <w:gridCol w:w="801"/>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18"/>
              </w:rPr>
            </w:pPr>
            <w:r>
              <w:rPr>
                <w:rFonts w:ascii="Arial;sans-serif" w:hAnsi="Arial;sans-serif"/>
                <w:b/>
                <w:color w:val="000000"/>
                <w:sz w:val="18"/>
              </w:rPr>
              <w:t>DIRECTOR</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FOR</w:t>
            </w:r>
          </w:p>
        </w:tc>
        <w:tc>
          <w:tcPr>
            <w:tcW w:w="106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WITHHOLD</w:t>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BROKER NON-VOTE</w:t>
            </w:r>
          </w:p>
        </w:tc>
      </w:tr>
      <w:tr>
        <w:trPr/>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Yves de Balmann</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246,517,608</w:t>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9,913,410</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Joseph Dominguez</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253,511,419</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2,919,599</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Bradley Halverson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251,225,685</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5,205,333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Charles Harrington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230,157,238</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26,273,780</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Julie Holzrichter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253,061,906</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3,369,112</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Dhiaa Jamil</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252,409,287</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4,021,731</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Ashish Khandpur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250,422,292</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6,008,726</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Robert Lawless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248,790,034</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7,640,984</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Eileen Paterson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251,503,170</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4,927,848</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John Richardson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251,133,875</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5,297,143</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Nneka Rimmer</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253,982,520</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2,448,498</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30,638,987</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Arial;sans-serif" w:hAnsi="Arial;sans-serif"/>
          <w:b/>
          <w:i/>
          <w:color w:val="000000"/>
          <w:sz w:val="18"/>
        </w:rPr>
        <w:t>Proposal 2.</w:t>
      </w:r>
      <w:r>
        <w:rPr>
          <w:color w:val="000000"/>
        </w:rPr>
        <w:t xml:space="preserve"> </w:t>
      </w:r>
      <w:r>
        <w:rPr>
          <w:rFonts w:ascii="Arial;sans-serif" w:hAnsi="Arial;sans-serif"/>
          <w:b/>
          <w:i/>
          <w:color w:val="000000"/>
          <w:sz w:val="18"/>
        </w:rPr>
        <w:t>Advisory Vote to Approve Compensation of our Named Executive Officers (Say-on-Pay)</w:t>
      </w:r>
    </w:p>
    <w:tbl>
      <w:tblPr>
        <w:tblW w:w="5058" w:type="dxa"/>
        <w:jc w:val="left"/>
        <w:tblInd w:w="0" w:type="dxa"/>
        <w:tblLayout w:type="fixed"/>
        <w:tblCellMar>
          <w:top w:w="28" w:type="dxa"/>
          <w:left w:w="28" w:type="dxa"/>
          <w:bottom w:w="28" w:type="dxa"/>
          <w:right w:w="28" w:type="dxa"/>
        </w:tblCellMar>
      </w:tblPr>
      <w:tblGrid>
        <w:gridCol w:w="417"/>
        <w:gridCol w:w="368"/>
        <w:gridCol w:w="371"/>
        <w:gridCol w:w="344"/>
        <w:gridCol w:w="344"/>
        <w:gridCol w:w="348"/>
        <w:gridCol w:w="309"/>
        <w:gridCol w:w="309"/>
        <w:gridCol w:w="313"/>
        <w:gridCol w:w="567"/>
        <w:gridCol w:w="567"/>
        <w:gridCol w:w="80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FOR</w:t>
            </w:r>
          </w:p>
        </w:tc>
        <w:tc>
          <w:tcPr>
            <w:tcW w:w="103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AGAINST</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241,593,166</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13,558,055</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1,279,797</w:t>
            </w:r>
          </w:p>
        </w:tc>
        <w:tc>
          <w:tcPr>
            <w:tcW w:w="1935"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i/>
          <w:color w:val="000000"/>
          <w:sz w:val="18"/>
        </w:rPr>
        <w:t>Proposal 3.</w:t>
      </w:r>
      <w:r>
        <w:rPr>
          <w:color w:val="000000"/>
        </w:rPr>
        <w:t xml:space="preserve"> </w:t>
      </w:r>
      <w:r>
        <w:rPr>
          <w:rFonts w:ascii="Arial;sans-serif" w:hAnsi="Arial;sans-serif"/>
          <w:b/>
          <w:i/>
          <w:color w:val="000000"/>
          <w:sz w:val="18"/>
        </w:rPr>
        <w:t>Ratification of Independent Registered Public Accounting Firm</w:t>
      </w:r>
    </w:p>
    <w:tbl>
      <w:tblPr>
        <w:tblW w:w="4938" w:type="dxa"/>
        <w:jc w:val="left"/>
        <w:tblInd w:w="0" w:type="dxa"/>
        <w:tblLayout w:type="fixed"/>
        <w:tblCellMar>
          <w:top w:w="28" w:type="dxa"/>
          <w:left w:w="28" w:type="dxa"/>
          <w:bottom w:w="28" w:type="dxa"/>
          <w:right w:w="28" w:type="dxa"/>
        </w:tblCellMar>
      </w:tblPr>
      <w:tblGrid>
        <w:gridCol w:w="417"/>
        <w:gridCol w:w="368"/>
        <w:gridCol w:w="371"/>
        <w:gridCol w:w="309"/>
        <w:gridCol w:w="309"/>
        <w:gridCol w:w="313"/>
        <w:gridCol w:w="305"/>
        <w:gridCol w:w="305"/>
        <w:gridCol w:w="306"/>
        <w:gridCol w:w="567"/>
        <w:gridCol w:w="567"/>
        <w:gridCol w:w="801"/>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FOR</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AGAINST</w:t>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285,285,740</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1,356,702</w:t>
            </w:r>
          </w:p>
        </w:tc>
        <w:tc>
          <w:tcPr>
            <w:tcW w:w="9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427,563</w:t>
            </w:r>
          </w:p>
        </w:tc>
        <w:tc>
          <w:tcPr>
            <w:tcW w:w="1935"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lineRule="auto" w:line="276" w:before="0" w:after="0"/>
        <w:jc w:val="both"/>
        <w:rPr/>
      </w:pPr>
      <w:r>
        <w:rPr>
          <w:rFonts w:ascii="Arial;sans-serif" w:hAnsi="Arial;sans-serif"/>
          <w:b/>
          <w:i/>
          <w:color w:val="000000"/>
          <w:sz w:val="18"/>
        </w:rPr>
        <w:t>Proposal 4.</w:t>
      </w:r>
      <w:r>
        <w:rPr>
          <w:color w:val="000000"/>
        </w:rPr>
        <w:t xml:space="preserve"> </w:t>
      </w:r>
      <w:r>
        <w:rPr>
          <w:rFonts w:ascii="Arial;sans-serif" w:hAnsi="Arial;sans-serif"/>
          <w:b/>
          <w:i/>
          <w:color w:val="000000"/>
          <w:sz w:val="18"/>
        </w:rPr>
        <w:t>Shareholder Proposal</w:t>
      </w:r>
    </w:p>
    <w:tbl>
      <w:tblPr>
        <w:tblW w:w="4953" w:type="dxa"/>
        <w:jc w:val="left"/>
        <w:tblInd w:w="0" w:type="dxa"/>
        <w:tblLayout w:type="fixed"/>
        <w:tblCellMar>
          <w:top w:w="28" w:type="dxa"/>
          <w:left w:w="28" w:type="dxa"/>
          <w:bottom w:w="28" w:type="dxa"/>
          <w:right w:w="28" w:type="dxa"/>
        </w:tblCellMar>
      </w:tblPr>
      <w:tblGrid>
        <w:gridCol w:w="341"/>
        <w:gridCol w:w="301"/>
        <w:gridCol w:w="304"/>
        <w:gridCol w:w="379"/>
        <w:gridCol w:w="379"/>
        <w:gridCol w:w="383"/>
        <w:gridCol w:w="309"/>
        <w:gridCol w:w="309"/>
        <w:gridCol w:w="313"/>
        <w:gridCol w:w="567"/>
        <w:gridCol w:w="567"/>
        <w:gridCol w:w="801"/>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FOR</w:t>
            </w:r>
          </w:p>
        </w:tc>
        <w:tc>
          <w:tcPr>
            <w:tcW w:w="114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AGAINST</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ABSTAIN</w:t>
            </w:r>
          </w:p>
        </w:tc>
        <w:tc>
          <w:tcPr>
            <w:tcW w:w="1935"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BROKER NON-VOTE</w:t>
            </w:r>
          </w:p>
        </w:tc>
      </w:tr>
      <w:tr>
        <w:trPr/>
        <w:tc>
          <w:tcPr>
            <w:tcW w:w="9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2,969,194</w:t>
            </w:r>
          </w:p>
        </w:tc>
        <w:tc>
          <w:tcPr>
            <w:tcW w:w="11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251,481,422</w:t>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1,980,402</w:t>
            </w:r>
          </w:p>
        </w:tc>
        <w:tc>
          <w:tcPr>
            <w:tcW w:w="1935"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4181" w:type="dxa"/>
        <w:jc w:val="left"/>
        <w:tblInd w:w="0" w:type="dxa"/>
        <w:tblLayout w:type="fixed"/>
        <w:tblCellMar>
          <w:top w:w="28" w:type="dxa"/>
          <w:left w:w="28" w:type="dxa"/>
          <w:bottom w:w="28" w:type="dxa"/>
          <w:right w:w="28" w:type="dxa"/>
        </w:tblCellMar>
      </w:tblPr>
      <w:tblGrid>
        <w:gridCol w:w="124"/>
        <w:gridCol w:w="109"/>
        <w:gridCol w:w="109"/>
        <w:gridCol w:w="1123"/>
        <w:gridCol w:w="1123"/>
        <w:gridCol w:w="15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Arden T. Phillips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Arden T. Phillips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May 1,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3653</Characters>
  <CharactersWithSpaces>4125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