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9" w:lineRule="exact"/>
        <w:rPr>
          <w:sz w:val="24"/>
          <w:szCs w:val="24"/>
          <w:color w:val="auto"/>
        </w:rPr>
      </w:pPr>
    </w:p>
    <w:p>
      <w:pPr>
        <w:jc w:val="center"/>
        <w:ind w:right="220"/>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973455</wp:posOffset>
            </wp:positionH>
            <wp:positionV relativeFrom="paragraph">
              <wp:posOffset>19685</wp:posOffset>
            </wp:positionV>
            <wp:extent cx="52146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4620"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-121285</wp:posOffset>
            </wp:positionV>
            <wp:extent cx="52146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4620" cy="698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November 1, 2023</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973455</wp:posOffset>
            </wp:positionH>
            <wp:positionV relativeFrom="paragraph">
              <wp:posOffset>8255</wp:posOffset>
            </wp:positionV>
            <wp:extent cx="52146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4620" cy="6985"/>
                    </a:xfrm>
                    <a:prstGeom prst="rect">
                      <a:avLst/>
                    </a:prstGeom>
                    <a:noFill/>
                  </pic:spPr>
                </pic:pic>
              </a:graphicData>
            </a:graphic>
          </wp:anchor>
        </w:drawing>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560" w:type="dxa"/>
            <w:vAlign w:val="bottom"/>
            <w:gridSpan w:val="2"/>
          </w:tcPr>
          <w:p>
            <w:pPr>
              <w:ind w:left="20"/>
              <w:spacing w:after="0"/>
              <w:rPr>
                <w:sz w:val="20"/>
                <w:szCs w:val="20"/>
                <w:color w:val="auto"/>
              </w:rPr>
            </w:pPr>
            <w:r>
              <w:rPr>
                <w:rFonts w:ascii="Arial" w:cs="Arial" w:eastAsia="Arial" w:hAnsi="Arial"/>
                <w:sz w:val="10"/>
                <w:szCs w:val="10"/>
                <w:b w:val="1"/>
                <w:bCs w:val="1"/>
                <w:color w:val="auto"/>
              </w:rPr>
              <w:t>Commission</w:t>
            </w:r>
          </w:p>
        </w:tc>
        <w:tc>
          <w:tcPr>
            <w:tcW w:w="6300" w:type="dxa"/>
            <w:vAlign w:val="bottom"/>
            <w:vMerge w:val="restart"/>
          </w:tcPr>
          <w:p>
            <w:pPr>
              <w:spacing w:after="0"/>
              <w:rPr>
                <w:sz w:val="20"/>
                <w:szCs w:val="20"/>
                <w:color w:val="auto"/>
              </w:rPr>
            </w:pPr>
            <w:r>
              <w:rPr>
                <w:rFonts w:ascii="Arial" w:cs="Arial" w:eastAsia="Arial" w:hAnsi="Arial"/>
                <w:sz w:val="10"/>
                <w:szCs w:val="10"/>
                <w:b w:val="1"/>
                <w:bCs w:val="1"/>
                <w:color w:val="auto"/>
              </w:rPr>
              <w:t>Name of Registrant; State or Other Jurisdiction of Incorporation; Address of Principal Executive Offices; and Telephone Number</w:t>
            </w:r>
          </w:p>
        </w:tc>
        <w:tc>
          <w:tcPr>
            <w:tcW w:w="80" w:type="dxa"/>
            <w:vAlign w:val="bottom"/>
            <w:vMerge w:val="restart"/>
          </w:tcPr>
          <w:p>
            <w:pPr>
              <w:spacing w:after="0"/>
              <w:rPr>
                <w:sz w:val="10"/>
                <w:szCs w:val="10"/>
                <w:color w:val="auto"/>
              </w:rPr>
            </w:pPr>
          </w:p>
        </w:tc>
        <w:tc>
          <w:tcPr>
            <w:tcW w:w="2340" w:type="dxa"/>
            <w:vAlign w:val="bottom"/>
            <w:vMerge w:val="restart"/>
          </w:tcPr>
          <w:p>
            <w:pPr>
              <w:jc w:val="right"/>
              <w:ind w:right="561"/>
              <w:spacing w:after="0"/>
              <w:rPr>
                <w:sz w:val="20"/>
                <w:szCs w:val="20"/>
                <w:color w:val="auto"/>
              </w:rPr>
            </w:pPr>
            <w:r>
              <w:rPr>
                <w:rFonts w:ascii="Arial" w:cs="Arial" w:eastAsia="Arial" w:hAnsi="Arial"/>
                <w:sz w:val="10"/>
                <w:szCs w:val="10"/>
                <w:b w:val="1"/>
                <w:bCs w:val="1"/>
                <w:color w:val="auto"/>
                <w:w w:val="99"/>
              </w:rPr>
              <w:t>IRS Employer Identification Number</w:t>
            </w:r>
          </w:p>
        </w:tc>
        <w:tc>
          <w:tcPr>
            <w:tcW w:w="0" w:type="dxa"/>
            <w:vAlign w:val="bottom"/>
          </w:tcPr>
          <w:p>
            <w:pPr>
              <w:spacing w:after="0"/>
              <w:rPr>
                <w:sz w:val="1"/>
                <w:szCs w:val="1"/>
                <w:color w:val="auto"/>
              </w:rPr>
            </w:pPr>
          </w:p>
        </w:tc>
      </w:tr>
      <w:tr>
        <w:trPr>
          <w:trHeight w:val="145"/>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File Number</w:t>
            </w:r>
          </w:p>
        </w:tc>
        <w:tc>
          <w:tcPr>
            <w:tcW w:w="100" w:type="dxa"/>
            <w:vAlign w:val="bottom"/>
          </w:tcPr>
          <w:p>
            <w:pPr>
              <w:spacing w:after="0"/>
              <w:rPr>
                <w:sz w:val="12"/>
                <w:szCs w:val="12"/>
                <w:color w:val="auto"/>
              </w:rPr>
            </w:pPr>
          </w:p>
        </w:tc>
        <w:tc>
          <w:tcPr>
            <w:tcW w:w="63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3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Arial" w:cs="Arial" w:eastAsia="Arial" w:hAnsi="Arial"/>
                <w:sz w:val="13"/>
                <w:szCs w:val="13"/>
                <w:color w:val="auto"/>
              </w:rPr>
              <w:t>001-41137</w:t>
            </w:r>
          </w:p>
        </w:tc>
        <w:tc>
          <w:tcPr>
            <w:tcW w:w="10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Arial" w:cs="Arial" w:eastAsia="Arial" w:hAnsi="Arial"/>
                <w:sz w:val="13"/>
                <w:szCs w:val="13"/>
                <w:color w:val="auto"/>
              </w:rPr>
              <w:t>CONSTELLATION ENERGY CORPORATION</w:t>
            </w:r>
          </w:p>
        </w:tc>
        <w:tc>
          <w:tcPr>
            <w:tcW w:w="2340" w:type="dxa"/>
            <w:vAlign w:val="bottom"/>
          </w:tcPr>
          <w:p>
            <w:pPr>
              <w:jc w:val="right"/>
              <w:spacing w:after="0"/>
              <w:rPr>
                <w:sz w:val="20"/>
                <w:szCs w:val="20"/>
                <w:color w:val="auto"/>
              </w:rPr>
            </w:pPr>
            <w:r>
              <w:rPr>
                <w:rFonts w:ascii="Arial" w:cs="Arial" w:eastAsia="Arial" w:hAnsi="Arial"/>
                <w:sz w:val="13"/>
                <w:szCs w:val="13"/>
                <w:color w:val="auto"/>
              </w:rPr>
              <w:t>87-1210716</w:t>
            </w:r>
          </w:p>
        </w:tc>
        <w:tc>
          <w:tcPr>
            <w:tcW w:w="0" w:type="dxa"/>
            <w:vAlign w:val="bottom"/>
          </w:tcPr>
          <w:p>
            <w:pPr>
              <w:spacing w:after="0"/>
              <w:rPr>
                <w:sz w:val="1"/>
                <w:szCs w:val="1"/>
                <w:color w:val="auto"/>
              </w:rPr>
            </w:pPr>
          </w:p>
        </w:tc>
      </w:tr>
      <w:tr>
        <w:trPr>
          <w:trHeight w:val="136"/>
        </w:trPr>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380" w:type="dxa"/>
            <w:vAlign w:val="bottom"/>
            <w:gridSpan w:val="2"/>
          </w:tcPr>
          <w:p>
            <w:pPr>
              <w:spacing w:after="0" w:line="136" w:lineRule="exact"/>
              <w:rPr>
                <w:sz w:val="20"/>
                <w:szCs w:val="20"/>
                <w:color w:val="auto"/>
              </w:rPr>
            </w:pPr>
            <w:r>
              <w:rPr>
                <w:rFonts w:ascii="Arial" w:cs="Arial" w:eastAsia="Arial" w:hAnsi="Arial"/>
                <w:sz w:val="13"/>
                <w:szCs w:val="13"/>
                <w:color w:val="auto"/>
              </w:rPr>
              <w:t>(a Pennsylvania corporation)</w:t>
            </w: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380" w:type="dxa"/>
            <w:vAlign w:val="bottom"/>
            <w:gridSpan w:val="2"/>
          </w:tcPr>
          <w:p>
            <w:pPr>
              <w:spacing w:after="0" w:line="128" w:lineRule="exact"/>
              <w:rPr>
                <w:sz w:val="20"/>
                <w:szCs w:val="20"/>
                <w:color w:val="auto"/>
              </w:rPr>
            </w:pPr>
            <w:r>
              <w:rPr>
                <w:rFonts w:ascii="Arial" w:cs="Arial" w:eastAsia="Arial" w:hAnsi="Arial"/>
                <w:sz w:val="13"/>
                <w:szCs w:val="13"/>
                <w:color w:val="auto"/>
              </w:rPr>
              <w:t>1310 Point Street</w:t>
            </w: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380" w:type="dxa"/>
            <w:vAlign w:val="bottom"/>
            <w:gridSpan w:val="2"/>
          </w:tcPr>
          <w:p>
            <w:pPr>
              <w:spacing w:after="0" w:line="128" w:lineRule="exact"/>
              <w:rPr>
                <w:sz w:val="20"/>
                <w:szCs w:val="20"/>
                <w:color w:val="auto"/>
              </w:rPr>
            </w:pPr>
            <w:r>
              <w:rPr>
                <w:rFonts w:ascii="Arial" w:cs="Arial" w:eastAsia="Arial" w:hAnsi="Arial"/>
                <w:sz w:val="13"/>
                <w:szCs w:val="13"/>
                <w:color w:val="auto"/>
              </w:rPr>
              <w:t>Baltimore, Maryland 21231-3380</w:t>
            </w: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(833) 883-0162</w:t>
            </w:r>
          </w:p>
        </w:tc>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3"/>
                <w:szCs w:val="13"/>
                <w:color w:val="auto"/>
              </w:rPr>
              <w:t>333-85496</w:t>
            </w:r>
          </w:p>
        </w:tc>
        <w:tc>
          <w:tcPr>
            <w:tcW w:w="10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3"/>
                <w:szCs w:val="13"/>
                <w:color w:val="auto"/>
              </w:rPr>
              <w:t>CONSTELLATION ENERGY GENERATION, LLC</w:t>
            </w:r>
          </w:p>
        </w:tc>
        <w:tc>
          <w:tcPr>
            <w:tcW w:w="2340" w:type="dxa"/>
            <w:vAlign w:val="bottom"/>
          </w:tcPr>
          <w:p>
            <w:pPr>
              <w:jc w:val="right"/>
              <w:spacing w:after="0"/>
              <w:rPr>
                <w:sz w:val="20"/>
                <w:szCs w:val="20"/>
                <w:color w:val="auto"/>
              </w:rPr>
            </w:pPr>
            <w:r>
              <w:rPr>
                <w:rFonts w:ascii="Arial" w:cs="Arial" w:eastAsia="Arial" w:hAnsi="Arial"/>
                <w:sz w:val="13"/>
                <w:szCs w:val="13"/>
                <w:color w:val="auto"/>
              </w:rPr>
              <w:t>23-3064219</w:t>
            </w:r>
          </w:p>
        </w:tc>
        <w:tc>
          <w:tcPr>
            <w:tcW w:w="0" w:type="dxa"/>
            <w:vAlign w:val="bottom"/>
          </w:tcPr>
          <w:p>
            <w:pPr>
              <w:spacing w:after="0"/>
              <w:rPr>
                <w:sz w:val="1"/>
                <w:szCs w:val="1"/>
                <w:color w:val="auto"/>
              </w:rPr>
            </w:pPr>
          </w:p>
        </w:tc>
      </w:tr>
      <w:tr>
        <w:trPr>
          <w:trHeight w:val="136"/>
        </w:trPr>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380" w:type="dxa"/>
            <w:vAlign w:val="bottom"/>
            <w:gridSpan w:val="2"/>
          </w:tcPr>
          <w:p>
            <w:pPr>
              <w:spacing w:after="0" w:line="136" w:lineRule="exact"/>
              <w:rPr>
                <w:sz w:val="20"/>
                <w:szCs w:val="20"/>
                <w:color w:val="auto"/>
              </w:rPr>
            </w:pPr>
            <w:r>
              <w:rPr>
                <w:rFonts w:ascii="Arial" w:cs="Arial" w:eastAsia="Arial" w:hAnsi="Arial"/>
                <w:sz w:val="13"/>
                <w:szCs w:val="13"/>
                <w:color w:val="auto"/>
              </w:rPr>
              <w:t>(a Pennsylvania limited liability company)</w:t>
            </w: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380" w:type="dxa"/>
            <w:vAlign w:val="bottom"/>
            <w:gridSpan w:val="2"/>
          </w:tcPr>
          <w:p>
            <w:pPr>
              <w:spacing w:after="0" w:line="128" w:lineRule="exact"/>
              <w:rPr>
                <w:sz w:val="20"/>
                <w:szCs w:val="20"/>
                <w:color w:val="auto"/>
              </w:rPr>
            </w:pPr>
            <w:r>
              <w:rPr>
                <w:rFonts w:ascii="Arial" w:cs="Arial" w:eastAsia="Arial" w:hAnsi="Arial"/>
                <w:sz w:val="13"/>
                <w:szCs w:val="13"/>
                <w:color w:val="auto"/>
              </w:rPr>
              <w:t>200 Exelon Way</w:t>
            </w: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380" w:type="dxa"/>
            <w:vAlign w:val="bottom"/>
            <w:gridSpan w:val="2"/>
          </w:tcPr>
          <w:p>
            <w:pPr>
              <w:spacing w:after="0" w:line="128" w:lineRule="exact"/>
              <w:rPr>
                <w:sz w:val="20"/>
                <w:szCs w:val="20"/>
                <w:color w:val="auto"/>
              </w:rPr>
            </w:pPr>
            <w:r>
              <w:rPr>
                <w:rFonts w:ascii="Arial" w:cs="Arial" w:eastAsia="Arial" w:hAnsi="Arial"/>
                <w:sz w:val="13"/>
                <w:szCs w:val="13"/>
                <w:color w:val="auto"/>
              </w:rPr>
              <w:t>Kennett Square, Pennsylvania 19348-2473</w:t>
            </w: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(833) 883-0162</w:t>
            </w:r>
          </w:p>
        </w:tc>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60"/>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p>
    <w:p>
      <w:pPr>
        <w:ind w:left="420" w:hanging="369"/>
        <w:spacing w:after="0"/>
        <w:tabs>
          <w:tab w:leader="none" w:pos="4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28" w:lineRule="exact"/>
        <w:rPr>
          <w:rFonts w:ascii="MS PGothic" w:cs="MS PGothic" w:eastAsia="MS PGothic" w:hAnsi="MS PGothic"/>
          <w:sz w:val="13"/>
          <w:szCs w:val="13"/>
          <w:color w:val="auto"/>
        </w:rPr>
      </w:pPr>
    </w:p>
    <w:p>
      <w:pPr>
        <w:ind w:left="420" w:hanging="369"/>
        <w:spacing w:after="0"/>
        <w:tabs>
          <w:tab w:leader="none" w:pos="4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20" w:lineRule="exact"/>
        <w:rPr>
          <w:rFonts w:ascii="MS PGothic" w:cs="MS PGothic" w:eastAsia="MS PGothic" w:hAnsi="MS PGothic"/>
          <w:sz w:val="13"/>
          <w:szCs w:val="13"/>
          <w:color w:val="auto"/>
        </w:rPr>
      </w:pPr>
    </w:p>
    <w:p>
      <w:pPr>
        <w:ind w:left="420" w:hanging="369"/>
        <w:spacing w:after="0"/>
        <w:tabs>
          <w:tab w:leader="none" w:pos="4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20" w:lineRule="exact"/>
        <w:rPr>
          <w:rFonts w:ascii="MS PGothic" w:cs="MS PGothic" w:eastAsia="MS PGothic" w:hAnsi="MS PGothic"/>
          <w:sz w:val="13"/>
          <w:szCs w:val="13"/>
          <w:color w:val="auto"/>
        </w:rPr>
      </w:pPr>
    </w:p>
    <w:p>
      <w:pPr>
        <w:ind w:left="420" w:hanging="369"/>
        <w:spacing w:after="0"/>
        <w:tabs>
          <w:tab w:leader="none" w:pos="4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08" w:lineRule="exact"/>
        <w:rPr>
          <w:sz w:val="24"/>
          <w:szCs w:val="24"/>
          <w:color w:val="auto"/>
        </w:rPr>
      </w:pPr>
    </w:p>
    <w:p>
      <w:pPr>
        <w:ind w:left="2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5060" w:type="dxa"/>
            <w:vAlign w:val="bottom"/>
            <w:gridSpan w:val="2"/>
          </w:tcPr>
          <w:p>
            <w:pPr>
              <w:ind w:left="20"/>
              <w:spacing w:after="0"/>
              <w:rPr>
                <w:sz w:val="20"/>
                <w:szCs w:val="20"/>
                <w:color w:val="auto"/>
              </w:rPr>
            </w:pPr>
            <w:r>
              <w:rPr>
                <w:rFonts w:ascii="Arial" w:cs="Arial" w:eastAsia="Arial" w:hAnsi="Arial"/>
                <w:sz w:val="10"/>
                <w:szCs w:val="10"/>
                <w:b w:val="1"/>
                <w:bCs w:val="1"/>
                <w:color w:val="auto"/>
              </w:rPr>
              <w:t>Title of each class</w:t>
            </w:r>
          </w:p>
        </w:tc>
        <w:tc>
          <w:tcPr>
            <w:tcW w:w="12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Trading Symbol(s)</w:t>
            </w:r>
          </w:p>
        </w:tc>
        <w:tc>
          <w:tcPr>
            <w:tcW w:w="4960" w:type="dxa"/>
            <w:vAlign w:val="bottom"/>
          </w:tcPr>
          <w:p>
            <w:pPr>
              <w:jc w:val="center"/>
              <w:spacing w:after="0"/>
              <w:rPr>
                <w:sz w:val="20"/>
                <w:szCs w:val="20"/>
                <w:color w:val="auto"/>
              </w:rPr>
            </w:pPr>
            <w:r>
              <w:rPr>
                <w:rFonts w:ascii="Arial" w:cs="Arial" w:eastAsia="Arial" w:hAnsi="Arial"/>
                <w:sz w:val="10"/>
                <w:szCs w:val="10"/>
                <w:b w:val="1"/>
                <w:bCs w:val="1"/>
                <w:color w:val="auto"/>
                <w:w w:val="98"/>
              </w:rPr>
              <w:t>Name of each exchange on which registered</w:t>
            </w:r>
          </w:p>
        </w:tc>
      </w:tr>
      <w:tr>
        <w:trPr>
          <w:trHeight w:val="167"/>
        </w:trPr>
        <w:tc>
          <w:tcPr>
            <w:tcW w:w="494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CONSTELLATION ENERGY CORPORATION:</w:t>
            </w: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960" w:type="dxa"/>
            <w:vAlign w:val="bottom"/>
            <w:tcBorders>
              <w:top w:val="single" w:sz="8" w:color="auto"/>
            </w:tcBorders>
          </w:tcPr>
          <w:p>
            <w:pPr>
              <w:spacing w:after="0"/>
              <w:rPr>
                <w:sz w:val="14"/>
                <w:szCs w:val="14"/>
                <w:color w:val="auto"/>
              </w:rPr>
            </w:pPr>
          </w:p>
        </w:tc>
      </w:tr>
      <w:tr>
        <w:trPr>
          <w:trHeight w:val="161"/>
        </w:trPr>
        <w:tc>
          <w:tcPr>
            <w:tcW w:w="5060" w:type="dxa"/>
            <w:vAlign w:val="bottom"/>
            <w:gridSpan w:val="2"/>
          </w:tcPr>
          <w:p>
            <w:pPr>
              <w:ind w:left="20"/>
              <w:spacing w:after="0"/>
              <w:rPr>
                <w:sz w:val="20"/>
                <w:szCs w:val="20"/>
                <w:color w:val="auto"/>
              </w:rPr>
            </w:pPr>
            <w:r>
              <w:rPr>
                <w:rFonts w:ascii="Arial" w:cs="Arial" w:eastAsia="Arial" w:hAnsi="Arial"/>
                <w:sz w:val="13"/>
                <w:szCs w:val="13"/>
                <w:color w:val="auto"/>
              </w:rPr>
              <w:t>Common Stock, without par value</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CEG</w:t>
            </w:r>
          </w:p>
        </w:tc>
        <w:tc>
          <w:tcPr>
            <w:tcW w:w="4960" w:type="dxa"/>
            <w:vAlign w:val="bottom"/>
          </w:tcPr>
          <w:p>
            <w:pPr>
              <w:jc w:val="center"/>
              <w:spacing w:after="0"/>
              <w:rPr>
                <w:sz w:val="20"/>
                <w:szCs w:val="20"/>
                <w:color w:val="auto"/>
              </w:rPr>
            </w:pPr>
            <w:r>
              <w:rPr>
                <w:rFonts w:ascii="Arial" w:cs="Arial" w:eastAsia="Arial" w:hAnsi="Arial"/>
                <w:sz w:val="13"/>
                <w:szCs w:val="13"/>
                <w:color w:val="auto"/>
                <w:w w:val="97"/>
              </w:rPr>
              <w:t>The Nasdaq Stock Market LLC</w:t>
            </w:r>
          </w:p>
        </w:tc>
      </w:tr>
    </w:tbl>
    <w:p>
      <w:pPr>
        <w:spacing w:after="0" w:line="104" w:lineRule="exact"/>
        <w:rPr>
          <w:sz w:val="24"/>
          <w:szCs w:val="24"/>
          <w:color w:val="auto"/>
        </w:rPr>
      </w:pPr>
    </w:p>
    <w:p>
      <w:pPr>
        <w:ind w:left="20" w:right="220"/>
        <w:spacing w:after="0" w:line="154" w:lineRule="exact"/>
        <w:rPr>
          <w:sz w:val="20"/>
          <w:szCs w:val="20"/>
          <w:color w:val="auto"/>
        </w:rPr>
      </w:pPr>
      <w:r>
        <w:rPr>
          <w:rFonts w:ascii="Arial" w:cs="Arial" w:eastAsia="Arial" w:hAnsi="Arial"/>
          <w:sz w:val="13"/>
          <w:szCs w:val="13"/>
          <w:color w:val="auto"/>
        </w:rPr>
        <w:t xml:space="preserve">Indicate by check mark whether any of the registrants are emerging growth companies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74" w:lineRule="exact"/>
        <w:rPr>
          <w:sz w:val="24"/>
          <w:szCs w:val="24"/>
          <w:color w:val="auto"/>
        </w:rPr>
      </w:pPr>
    </w:p>
    <w:p>
      <w:pPr>
        <w:ind w:left="20" w:right="420"/>
        <w:spacing w:after="0" w:line="154" w:lineRule="exact"/>
        <w:rPr>
          <w:sz w:val="20"/>
          <w:szCs w:val="20"/>
          <w:color w:val="auto"/>
        </w:rPr>
      </w:pPr>
      <w:r>
        <w:rPr>
          <w:rFonts w:ascii="Arial" w:cs="Arial" w:eastAsia="Arial" w:hAnsi="Arial"/>
          <w:sz w:val="13"/>
          <w:szCs w:val="13"/>
          <w:color w:val="auto"/>
        </w:rPr>
        <w:t xml:space="preserve">If an emerging growth company, indicate by check mark if any of the registrants have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523875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t>Section 7 – Regulation FD</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The disclosure set forth in Item 8.01 below is incorporated by reference in this Item 7.01.</w:t>
      </w: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8 – Other Events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8.01. Other Events</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May 31, 2023, Constellation Energy Corporation (“Constellation”) reported that its wholly owned subsidiary, Constellation Energy Generation, LLC (“CEG”), entered into an Equity Purchase Agreement with Texas Genco GP, LLC and Texas Genco LP, LLC, subsidiaries of NRG Energy, Inc. (“NRG”), for the acquisition of NRG’s forty-four percent ownership interest in the South Texas Project Electric Generating Station (“STP”). On November 1, 2023, following the receipt of Nuclear Regulatory Commission approval of the license transfer application between NRG and CEG, and the satisfaction of all other closing conditions, the parties closed the transaction.</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August 1, 2023, Constellation and CEG reported that the City of San Antonio, Texas, acting by and through the City Public Service Board of San Antonio (“CPS”), filed a lawsuit claiming the existence of a right of first refusal that applied to the transaction contemplated by the Equity Purchase Agreement. Austin Energy intervened in the lawsuit claiming a similar right of first refusal. The ongoing legal proceeding did not prohibit NRG and CEG from consummating the transaction, and Constellation is working with all parties to reach a resolution to the matter.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 copy of the press release is attached hereto as Exhibit 99.1 and incorporated herein by reference.</w:t>
      </w: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9 – Financial Statements and Exhibits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78" w:lineRule="exact"/>
        <w:rPr>
          <w:sz w:val="20"/>
          <w:szCs w:val="20"/>
          <w:color w:val="auto"/>
        </w:rPr>
      </w:pPr>
    </w:p>
    <w:p>
      <w:pPr>
        <w:ind w:left="300" w:hanging="295"/>
        <w:spacing w:after="0"/>
        <w:tabs>
          <w:tab w:leader="none" w:pos="30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Exhibits.</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20" w:type="dxa"/>
            <w:vAlign w:val="bottom"/>
            <w:gridSpan w:val="2"/>
          </w:tcPr>
          <w:p>
            <w:pPr>
              <w:spacing w:after="0"/>
              <w:rPr>
                <w:sz w:val="20"/>
                <w:szCs w:val="20"/>
                <w:color w:val="auto"/>
              </w:rPr>
            </w:pPr>
            <w:r>
              <w:rPr>
                <w:rFonts w:ascii="Arial" w:cs="Arial" w:eastAsia="Arial" w:hAnsi="Arial"/>
                <w:sz w:val="13"/>
                <w:szCs w:val="13"/>
                <w:color w:val="auto"/>
                <w:w w:val="95"/>
              </w:rPr>
              <w:t>Exhibit No.</w:t>
            </w:r>
          </w:p>
        </w:tc>
        <w:tc>
          <w:tcPr>
            <w:tcW w:w="380" w:type="dxa"/>
            <w:vAlign w:val="bottom"/>
          </w:tcPr>
          <w:p>
            <w:pPr>
              <w:spacing w:after="0"/>
              <w:rPr>
                <w:sz w:val="13"/>
                <w:szCs w:val="13"/>
                <w:color w:val="auto"/>
              </w:rPr>
            </w:pPr>
          </w:p>
        </w:tc>
        <w:tc>
          <w:tcPr>
            <w:tcW w:w="6580" w:type="dxa"/>
            <w:vAlign w:val="bottom"/>
            <w:gridSpan w:val="4"/>
          </w:tcPr>
          <w:p>
            <w:pPr>
              <w:ind w:left="380"/>
              <w:spacing w:after="0"/>
              <w:rPr>
                <w:sz w:val="20"/>
                <w:szCs w:val="20"/>
                <w:color w:val="auto"/>
              </w:rPr>
            </w:pPr>
            <w:r>
              <w:rPr>
                <w:rFonts w:ascii="Arial" w:cs="Arial" w:eastAsia="Arial" w:hAnsi="Arial"/>
                <w:sz w:val="13"/>
                <w:szCs w:val="13"/>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50"/>
        </w:trPr>
        <w:tc>
          <w:tcPr>
            <w:tcW w:w="620" w:type="dxa"/>
            <w:vAlign w:val="bottom"/>
            <w:gridSpan w:val="2"/>
          </w:tcPr>
          <w:p>
            <w:pPr>
              <w:spacing w:after="0"/>
              <w:rPr>
                <w:sz w:val="20"/>
                <w:szCs w:val="20"/>
                <w:color w:val="auto"/>
              </w:rPr>
            </w:pPr>
            <w:r>
              <w:rPr>
                <w:rFonts w:ascii="Arial" w:cs="Arial" w:eastAsia="Arial" w:hAnsi="Arial"/>
                <w:sz w:val="13"/>
                <w:szCs w:val="13"/>
                <w:color w:val="0000FF"/>
              </w:rPr>
              <w:t>99.</w:t>
            </w:r>
            <w:r>
              <w:rPr>
                <w:rFonts w:ascii="Arial" w:cs="Arial" w:eastAsia="Arial" w:hAnsi="Arial"/>
                <w:sz w:val="13"/>
                <w:szCs w:val="13"/>
                <w:u w:val="single" w:color="auto"/>
                <w:color w:val="0000FF"/>
              </w:rPr>
              <w:t>1</w:t>
            </w:r>
          </w:p>
        </w:tc>
        <w:tc>
          <w:tcPr>
            <w:tcW w:w="380" w:type="dxa"/>
            <w:vAlign w:val="bottom"/>
          </w:tcPr>
          <w:p>
            <w:pPr>
              <w:spacing w:after="0"/>
              <w:rPr>
                <w:sz w:val="13"/>
                <w:szCs w:val="13"/>
                <w:color w:val="auto"/>
              </w:rPr>
            </w:pPr>
          </w:p>
        </w:tc>
        <w:tc>
          <w:tcPr>
            <w:tcW w:w="6580" w:type="dxa"/>
            <w:vAlign w:val="bottom"/>
            <w:gridSpan w:val="4"/>
          </w:tcPr>
          <w:p>
            <w:pPr>
              <w:ind w:left="380"/>
              <w:spacing w:after="0"/>
              <w:rPr>
                <w:sz w:val="20"/>
                <w:szCs w:val="20"/>
                <w:color w:val="auto"/>
              </w:rPr>
            </w:pPr>
            <w:r>
              <w:rPr>
                <w:rFonts w:ascii="Arial" w:cs="Arial" w:eastAsia="Arial" w:hAnsi="Arial"/>
                <w:sz w:val="13"/>
                <w:szCs w:val="13"/>
                <w:color w:val="0000FF"/>
              </w:rPr>
              <w:t>Press release</w:t>
            </w:r>
          </w:p>
        </w:tc>
      </w:tr>
      <w:tr>
        <w:trPr>
          <w:trHeight w:val="20"/>
        </w:trPr>
        <w:tc>
          <w:tcPr>
            <w:tcW w:w="2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77"/>
        </w:trPr>
        <w:tc>
          <w:tcPr>
            <w:tcW w:w="240" w:type="dxa"/>
            <w:vAlign w:val="bottom"/>
          </w:tcPr>
          <w:p>
            <w:pPr>
              <w:spacing w:after="0"/>
              <w:rPr>
                <w:sz w:val="20"/>
                <w:szCs w:val="20"/>
                <w:color w:val="auto"/>
              </w:rPr>
            </w:pPr>
            <w:r>
              <w:rPr>
                <w:rFonts w:ascii="Arial" w:cs="Arial" w:eastAsia="Arial" w:hAnsi="Arial"/>
                <w:sz w:val="13"/>
                <w:szCs w:val="13"/>
                <w:color w:val="auto"/>
              </w:rPr>
              <w:t>101</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580" w:type="dxa"/>
            <w:vAlign w:val="bottom"/>
            <w:gridSpan w:val="4"/>
          </w:tcPr>
          <w:p>
            <w:pPr>
              <w:ind w:left="380"/>
              <w:spacing w:after="0"/>
              <w:rPr>
                <w:sz w:val="20"/>
                <w:szCs w:val="20"/>
                <w:color w:val="auto"/>
              </w:rPr>
            </w:pPr>
            <w:r>
              <w:rPr>
                <w:rFonts w:ascii="Arial" w:cs="Arial" w:eastAsia="Arial" w:hAnsi="Arial"/>
                <w:sz w:val="13"/>
                <w:szCs w:val="13"/>
                <w:color w:val="auto"/>
                <w:w w:val="97"/>
              </w:rPr>
              <w:t>Cover Page Interactive Data File - the cover page XBRL tags are embedded within the Inline XBRL document.</w:t>
            </w:r>
          </w:p>
        </w:tc>
      </w:tr>
      <w:tr>
        <w:trPr>
          <w:trHeight w:val="170"/>
        </w:trPr>
        <w:tc>
          <w:tcPr>
            <w:tcW w:w="240" w:type="dxa"/>
            <w:vAlign w:val="bottom"/>
          </w:tcPr>
          <w:p>
            <w:pPr>
              <w:spacing w:after="0"/>
              <w:rPr>
                <w:sz w:val="20"/>
                <w:szCs w:val="20"/>
                <w:color w:val="auto"/>
              </w:rPr>
            </w:pPr>
            <w:r>
              <w:rPr>
                <w:rFonts w:ascii="Arial" w:cs="Arial" w:eastAsia="Arial" w:hAnsi="Arial"/>
                <w:sz w:val="13"/>
                <w:szCs w:val="13"/>
                <w:color w:val="auto"/>
              </w:rPr>
              <w:t>104</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580" w:type="dxa"/>
            <w:vAlign w:val="bottom"/>
            <w:gridSpan w:val="4"/>
          </w:tcPr>
          <w:p>
            <w:pPr>
              <w:ind w:left="380"/>
              <w:spacing w:after="0"/>
              <w:rPr>
                <w:sz w:val="20"/>
                <w:szCs w:val="20"/>
                <w:color w:val="auto"/>
              </w:rPr>
            </w:pPr>
            <w:r>
              <w:rPr>
                <w:rFonts w:ascii="Arial" w:cs="Arial" w:eastAsia="Arial" w:hAnsi="Arial"/>
                <w:sz w:val="13"/>
                <w:szCs w:val="13"/>
                <w:color w:val="auto"/>
              </w:rPr>
              <w:t>The cover page from this Current Report on Form 8-K, formatted as Inline XBRL.</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 * *</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This combined Current Report on Form 8-K is being furnished separately by Constellation Energy Corporation and Constellation Energy Generation, LLC (collectively, the “Registrants”). Information contained herein relating to any individual Registrant has been furnished by such Registrant on its own behalf. Neither Registrant makes any representation as to information relating to the other Registrant.</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This report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w:t>
      </w:r>
    </w:p>
    <w:p>
      <w:pPr>
        <w:spacing w:after="0" w:line="169"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The factors that could cause actual results to differ materially from the forward-looking statements made by the Registrants include those factors discussed herein, as well as the items discussed in (1) the Registrants' 2022 Annual Report on Form 10 -K in (a) Part I, ITEM 1A. Risk Factors, (b) Part II, ITEM 7. Management’s Discussion and Analysis of Financial Condition and Results of Operations, and (c) Part II, ITEM 8. Financial Statements and Supplementary Data: Note 19, Commitments and Contingencies; (2) the Registrants' Second Quarter 2023 Quarterly Report on Form 10-Q in (a) Part II, ITEM 1A. Risk Factors, (b) Part I, ITEM 2. Management’s Discussion and Analysis of Financial Condition and Results of Operations, and (c) Part I, ITEM 1. Financial Statements: Note 12, Commitments and Contingencies; and (3) other factors discussed in filings with the SEC by the Registrants.</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Investors are cautioned not to place undue reliance on these forward-looking statements, which apply only as of the date of this Current Report on Form 8-K. Neither Registrant undertakes any obligation to publicly release any revision to its forward-looking statements to reflect events or circumstances after the date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683895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4" w:right="319" w:bottom="1440" w:gutter="0" w:footer="0" w:header="0"/>
        </w:sectPr>
      </w:pPr>
    </w:p>
    <w:bookmarkStart w:id="2" w:name="page3"/>
    <w:bookmarkEnd w:id="2"/>
    <w:p>
      <w:pPr>
        <w:ind w:left="5240"/>
        <w:spacing w:after="0"/>
        <w:rPr>
          <w:sz w:val="20"/>
          <w:szCs w:val="20"/>
          <w:color w:val="auto"/>
        </w:rPr>
      </w:pPr>
      <w:r>
        <w:rPr>
          <w:rFonts w:ascii="Arial" w:cs="Arial" w:eastAsia="Arial" w:hAnsi="Arial"/>
          <w:sz w:val="13"/>
          <w:szCs w:val="13"/>
          <w:b w:val="1"/>
          <w:bCs w:val="1"/>
          <w:color w:val="auto"/>
        </w:rPr>
        <w:t>SIGNATURES</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each Registrant has duly caused this report to be signed on its behalf by the undersigned hereunto duly authorized.</w:t>
      </w: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CONSTELLATION ENERGY CORPORATION</w:t>
      </w:r>
    </w:p>
    <w:p>
      <w:pPr>
        <w:spacing w:after="0" w:line="240"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/s/ Daniel L. Eggers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10160</wp:posOffset>
            </wp:positionV>
            <wp:extent cx="35775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1"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Daniel L. Eggers</w:t>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Executive Vice President and Chief Financial Officer</w:t>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Constellation Energy Corporation</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CONSTELLATION ENERGY GENERATION, LLC</w:t>
      </w: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/s/ Daniel L. Eggers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10160</wp:posOffset>
            </wp:positionV>
            <wp:extent cx="357759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1"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Daniel L. Eggers</w:t>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Executive Vice President and Chief Financial Officer</w:t>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Constellation Energy Generation,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November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40"/>
          </w:cols>
          <w:pgMar w:left="300" w:top="1144" w:right="11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7"/>
        </w:trPr>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20" w:type="dxa"/>
            <w:vAlign w:val="bottom"/>
          </w:tcPr>
          <w:p>
            <w:pPr>
              <w:ind w:left="2960"/>
              <w:spacing w:after="0"/>
              <w:rPr>
                <w:sz w:val="20"/>
                <w:szCs w:val="20"/>
                <w:color w:val="auto"/>
              </w:rPr>
            </w:pPr>
            <w:r>
              <w:rPr>
                <w:rFonts w:ascii="Arial" w:cs="Arial" w:eastAsia="Arial" w:hAnsi="Arial"/>
                <w:sz w:val="13"/>
                <w:szCs w:val="13"/>
                <w:b w:val="1"/>
                <w:bCs w:val="1"/>
                <w:color w:val="auto"/>
              </w:rPr>
              <w:t>EXHIBIT INDEX</w:t>
            </w:r>
          </w:p>
        </w:tc>
      </w:tr>
      <w:tr>
        <w:trPr>
          <w:trHeight w:val="198"/>
        </w:trPr>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5"/>
              </w:rPr>
              <w:t>Exhibit No.</w:t>
            </w:r>
          </w:p>
        </w:tc>
        <w:tc>
          <w:tcPr>
            <w:tcW w:w="76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5"/>
              </w:rPr>
              <w:t>Description</w:t>
            </w:r>
          </w:p>
        </w:tc>
        <w:tc>
          <w:tcPr>
            <w:tcW w:w="5560" w:type="dxa"/>
            <w:vAlign w:val="bottom"/>
            <w:gridSpan w:val="2"/>
          </w:tcPr>
          <w:p>
            <w:pPr>
              <w:spacing w:after="0"/>
              <w:rPr>
                <w:sz w:val="17"/>
                <w:szCs w:val="17"/>
                <w:color w:val="auto"/>
              </w:rPr>
            </w:pPr>
          </w:p>
        </w:tc>
      </w:tr>
      <w:tr>
        <w:trPr>
          <w:trHeight w:val="150"/>
        </w:trPr>
        <w:tc>
          <w:tcPr>
            <w:tcW w:w="26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4"/>
              </w:rPr>
              <w:t>99.</w:t>
            </w:r>
            <w:r>
              <w:rPr>
                <w:rFonts w:ascii="Arial" w:cs="Arial" w:eastAsia="Arial" w:hAnsi="Arial"/>
                <w:sz w:val="13"/>
                <w:szCs w:val="13"/>
                <w:u w:val="single" w:color="auto"/>
                <w:color w:val="0000FF"/>
                <w:w w:val="94"/>
              </w:rPr>
              <w:t>1</w:t>
            </w: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5"/>
              </w:rPr>
              <w:t>Press release</w:t>
            </w:r>
          </w:p>
        </w:tc>
        <w:tc>
          <w:tcPr>
            <w:tcW w:w="5420" w:type="dxa"/>
            <w:vAlign w:val="bottom"/>
          </w:tcPr>
          <w:p>
            <w:pPr>
              <w:spacing w:after="0"/>
              <w:rPr>
                <w:sz w:val="13"/>
                <w:szCs w:val="13"/>
                <w:color w:val="auto"/>
              </w:rPr>
            </w:pPr>
          </w:p>
        </w:tc>
      </w:tr>
      <w:tr>
        <w:trPr>
          <w:trHeight w:val="177"/>
        </w:trPr>
        <w:tc>
          <w:tcPr>
            <w:tcW w:w="260" w:type="dxa"/>
            <w:vAlign w:val="bottom"/>
          </w:tcPr>
          <w:p>
            <w:pPr>
              <w:spacing w:after="0"/>
              <w:rPr>
                <w:sz w:val="20"/>
                <w:szCs w:val="20"/>
                <w:color w:val="auto"/>
              </w:rPr>
            </w:pPr>
            <w:r>
              <w:rPr>
                <w:rFonts w:ascii="Arial" w:cs="Arial" w:eastAsia="Arial" w:hAnsi="Arial"/>
                <w:sz w:val="13"/>
                <w:szCs w:val="13"/>
                <w:color w:val="auto"/>
              </w:rPr>
              <w:t>101</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0" w:type="dxa"/>
            <w:vAlign w:val="bottom"/>
            <w:gridSpan w:val="3"/>
          </w:tcPr>
          <w:p>
            <w:pPr>
              <w:spacing w:after="0"/>
              <w:rPr>
                <w:sz w:val="20"/>
                <w:szCs w:val="20"/>
                <w:color w:val="auto"/>
              </w:rPr>
            </w:pPr>
            <w:r>
              <w:rPr>
                <w:rFonts w:ascii="Arial" w:cs="Arial" w:eastAsia="Arial" w:hAnsi="Arial"/>
                <w:sz w:val="13"/>
                <w:szCs w:val="13"/>
                <w:color w:val="auto"/>
                <w:w w:val="97"/>
              </w:rPr>
              <w:t>Cover Page Interactive Data File - the cover page XBRL tags are embedded within the Inline XBRL document.</w:t>
            </w:r>
          </w:p>
        </w:tc>
      </w:tr>
      <w:tr>
        <w:trPr>
          <w:trHeight w:val="170"/>
        </w:trPr>
        <w:tc>
          <w:tcPr>
            <w:tcW w:w="260" w:type="dxa"/>
            <w:vAlign w:val="bottom"/>
          </w:tcPr>
          <w:p>
            <w:pPr>
              <w:spacing w:after="0"/>
              <w:rPr>
                <w:sz w:val="20"/>
                <w:szCs w:val="20"/>
                <w:color w:val="auto"/>
              </w:rPr>
            </w:pPr>
            <w:r>
              <w:rPr>
                <w:rFonts w:ascii="Arial" w:cs="Arial" w:eastAsia="Arial" w:hAnsi="Arial"/>
                <w:sz w:val="13"/>
                <w:szCs w:val="13"/>
                <w:color w:val="auto"/>
              </w:rPr>
              <w:t>104</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0" w:type="dxa"/>
            <w:vAlign w:val="bottom"/>
            <w:gridSpan w:val="3"/>
          </w:tcPr>
          <w:p>
            <w:pPr>
              <w:spacing w:after="0"/>
              <w:rPr>
                <w:sz w:val="20"/>
                <w:szCs w:val="20"/>
                <w:color w:val="auto"/>
              </w:rPr>
            </w:pPr>
            <w:r>
              <w:rPr>
                <w:rFonts w:ascii="Arial" w:cs="Arial" w:eastAsia="Arial" w:hAnsi="Arial"/>
                <w:sz w:val="13"/>
                <w:szCs w:val="13"/>
                <w:color w:val="auto"/>
              </w:rPr>
              <w:t>The cover page from this Current Report on Form 8-K, formatted as Inline XBRL.</w:t>
            </w:r>
          </w:p>
        </w:tc>
      </w:tr>
    </w:tbl>
    <w:p>
      <w:pPr>
        <w:sectPr>
          <w:pgSz w:w="11900" w:h="16838" w:orient="portrait"/>
          <w:cols w:equalWidth="0" w:num="1">
            <w:col w:w="10099"/>
          </w:cols>
          <w:pgMar w:left="360" w:top="1186"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2023-11-01T08:37:52Z</dcterms:created>
  <dcterms:modified xsi:type="dcterms:W3CDTF">2023-11-01T08:37:52Z</dcterms:modified>
</cp:coreProperties>
</file>